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Pr>
        <w:jc w:val="center"/>
      </w:pPr>
      <w:r>
        <w:rPr>
          <w:rFonts w:ascii="Calibri" w:hAnsi="Calibri"/>
          <w:b/>
          <w:color w:val="2E74B5"/>
          <w:sz w:val="24"/>
        </w:rPr>
        <w:t>IBSA</w:t>
      </w:r>
    </w:p>
    <w:p>
      <w:pPr>
        <w:jc w:val="center"/>
      </w:pPr>
      <w:r>
        <w:rPr>
          <w:rFonts w:ascii="Calibri" w:hAnsi="Calibri"/>
          <w:b/>
          <w:color w:val="1F4D78"/>
          <w:sz w:val="56"/>
        </w:rPr>
        <w:t>Golbolo taisyklės ir varžybų nuostatai</w:t>
      </w:r>
    </w:p>
    <w:p>
      <w:pPr>
        <w:jc w:val="center"/>
      </w:pPr>
      <w:r>
        <w:rPr>
          <w:rFonts w:ascii="Calibri" w:hAnsi="Calibri"/>
          <w:b/>
          <w:color w:val="2E74B5"/>
          <w:sz w:val="44"/>
        </w:rPr>
        <w:t>2025</w:t>
      </w:r>
    </w:p>
    <w:p>
      <w:pPr>
        <w:spacing w:before="360"/>
        <w:jc w:val="center"/>
      </w:pPr>
      <w:r>
        <w:rPr>
          <w:rFonts w:ascii="Calibri" w:hAnsi="Calibri"/>
          <w:i/>
          <w:color w:val="5A5A5A"/>
          <w:sz w:val="28"/>
        </w:rPr>
        <w:t>Lietuviškas peržiūros vertimas</w:t>
      </w:r>
    </w:p>
    <w:p>
      <w:pPr>
        <w:spacing w:before="1800"/>
        <w:jc w:val="center"/>
      </w:pPr>
      <w:r>
        <w:rPr>
          <w:rFonts w:ascii="Calibri" w:hAnsi="Calibri"/>
          <w:color w:val="5A5A5A"/>
          <w:sz w:val="20"/>
        </w:rPr>
        <w:t>Originalas: IBSA Goalball Rules and Regulations 2025 (v1.0)</w:t>
        <w:br/>
        <w:t>Galioja nuo 2025 m. sausio 1 d.</w:t>
      </w:r>
    </w:p>
    <w:p>
      <w:pPr>
        <w:spacing w:before="360"/>
        <w:jc w:val="center"/>
      </w:pPr>
      <w:r>
        <w:rPr>
          <w:rFonts w:ascii="Calibri" w:hAnsi="Calibri"/>
          <w:b/>
          <w:color w:val="7A5A00"/>
          <w:sz w:val="20"/>
        </w:rPr>
        <w:t>Svarbu: tai neoficialus vertimas. Kilus neatitikimų, vadovaujamasi oficialiu dokumentu anglų kalba.</w:t>
      </w:r>
    </w:p>
    <w:p>
      <w:r>
        <w:br w:type="page"/>
      </w:r>
    </w:p>
    <w:p>
      <w:pPr>
        <w:pStyle w:val="Heading1"/>
      </w:pPr>
      <w:r>
        <w:t>Turinys</w:t>
      </w:r>
    </w:p>
    <w:p>
      <w:pPr>
        <w:pStyle w:val="ListBullet"/>
      </w:pPr>
      <w:r>
        <w:rPr>
          <w:rFonts w:ascii="Calibri" w:hAnsi="Calibri"/>
          <w:sz w:val="22"/>
        </w:rPr>
        <w:t>A dalis. Golbolo taisyklės (1–42)</w:t>
      </w:r>
    </w:p>
    <w:p>
      <w:pPr>
        <w:pStyle w:val="ListBullet"/>
      </w:pPr>
      <w:r>
        <w:rPr>
          <w:rFonts w:ascii="Calibri" w:hAnsi="Calibri"/>
          <w:sz w:val="22"/>
        </w:rPr>
        <w:t>B dalis. Turnyrų nuostatai (43–55)</w:t>
      </w:r>
    </w:p>
    <w:p>
      <w:pPr>
        <w:pStyle w:val="ListBullet"/>
      </w:pPr>
      <w:r>
        <w:rPr>
          <w:rFonts w:ascii="Calibri" w:hAnsi="Calibri"/>
          <w:sz w:val="22"/>
        </w:rPr>
        <w:t>1 priedas. Schemos, rankų signalai ir kamuolio padėtis</w:t>
      </w:r>
    </w:p>
    <w:p>
      <w:pPr>
        <w:pStyle w:val="ListBullet"/>
      </w:pPr>
      <w:r>
        <w:rPr>
          <w:rFonts w:ascii="Calibri" w:hAnsi="Calibri"/>
          <w:sz w:val="22"/>
        </w:rPr>
        <w:t>2 priedas. Terminų žodynas</w:t>
      </w:r>
    </w:p>
    <w:p>
      <w:pPr>
        <w:pStyle w:val="ListBullet"/>
      </w:pPr>
      <w:r>
        <w:rPr>
          <w:rFonts w:ascii="Calibri" w:hAnsi="Calibri"/>
          <w:sz w:val="22"/>
        </w:rPr>
        <w:t>Originalios 1 priedo schemos</w:t>
      </w:r>
    </w:p>
    <w:p>
      <w:r>
        <w:br w:type="page"/>
      </w:r>
    </w:p>
    <w:p>
      <w:pPr>
        <w:pStyle w:val="Heading1"/>
      </w:pPr>
      <w:r>
        <w:rPr>
          <w:rFonts w:ascii="Calibri" w:hAnsi="Calibri"/>
          <w:sz w:val="22"/>
        </w:rPr>
        <w:t>A dalis. Golbolo taisyklės</w:t>
      </w:r>
    </w:p>
    <w:p>
      <w:r>
        <w:rPr>
          <w:rFonts w:ascii="Calibri" w:hAnsi="Calibri"/>
          <w:sz w:val="22"/>
        </w:rPr>
        <w:t>Vertimo juodraštis peržiūrai. Originalas: „IBSA Goalball Rules and Regulations 2025 (v1.0)“, 2025 m. sausio 1 d. Kilus neatitikimų, vadovaujamasi oficialiu dokumentu anglų kalba.</w:t>
      </w:r>
    </w:p>
    <w:p>
      <w:pPr>
        <w:pStyle w:val="Heading1"/>
      </w:pPr>
      <w:r>
        <w:rPr>
          <w:rFonts w:ascii="Calibri" w:hAnsi="Calibri"/>
          <w:sz w:val="22"/>
        </w:rPr>
        <w:t>A skyrius. Pasirengimas žaidimui</w:t>
      </w:r>
    </w:p>
    <w:p>
      <w:pPr>
        <w:pStyle w:val="Heading2"/>
      </w:pPr>
      <w:r>
        <w:rPr>
          <w:rFonts w:ascii="Calibri" w:hAnsi="Calibri"/>
          <w:sz w:val="22"/>
        </w:rPr>
        <w:t>1. Žaidimo aikštė</w:t>
      </w:r>
    </w:p>
    <w:p>
      <w:r>
        <w:rPr>
          <w:rFonts w:ascii="Calibri" w:hAnsi="Calibri"/>
          <w:sz w:val="22"/>
        </w:rPr>
        <w:t>(Taip pat žr. 1 priedo schemą.)</w:t>
      </w:r>
    </w:p>
    <w:p>
      <w:r>
        <w:rPr>
          <w:rFonts w:ascii="Calibri" w:hAnsi="Calibri"/>
          <w:b/>
          <w:sz w:val="22"/>
        </w:rPr>
        <w:t>1.1.</w:t>
      </w:r>
      <w:r>
        <w:rPr>
          <w:rFonts w:ascii="Calibri" w:hAnsi="Calibri"/>
          <w:sz w:val="22"/>
        </w:rPr>
        <w:t xml:space="preserve"> Žaidimo aikštė yra 18,0 m ilgio ir 9,0 m pločio stačiakampis (leidžiamoji paklaida ±0,05 m). Matmenys skaičiuojami iki išorinių kraštų. Aikštėje negali būti jokių kitų ženklinimų, išskyrus jos linijas. Ženklinimo ir matmenų schema pateikta 1 priede. Aikštė išilgai kas 3,0 m padalyta į šešias zonas.</w:t>
      </w:r>
    </w:p>
    <w:p>
      <w:r>
        <w:rPr>
          <w:rFonts w:ascii="Calibri" w:hAnsi="Calibri"/>
          <w:b/>
          <w:sz w:val="22"/>
        </w:rPr>
        <w:t>1.2.</w:t>
      </w:r>
      <w:r>
        <w:rPr>
          <w:rFonts w:ascii="Calibri" w:hAnsi="Calibri"/>
          <w:sz w:val="22"/>
        </w:rPr>
        <w:t xml:space="preserve"> Priešais vartus abiejuose aikštės galuose yra 6,0 m ilgio (±0,05 m) ir 9,0 m pločio (±0,05 m) komandos zonos. Kiekviena komandos zona padalyta į dvi lygias dalis, kurių matmenys – 3,0 m ilgio (±0,05 m) ir 9,0 m pločio (±0,05 m). Šios dalys vadinamos orientavimosi zona ir puolimo zona. Orientavimosi zona yra arčiausiai vartų, o puolimo zona – toliausiai nuo jų. Komandos zonose įrengiamos žaidėjų orientavimosi linijos.</w:t>
      </w:r>
    </w:p>
    <w:p>
      <w:r>
        <w:rPr>
          <w:rFonts w:ascii="Calibri" w:hAnsi="Calibri"/>
          <w:b/>
          <w:sz w:val="22"/>
        </w:rPr>
        <w:t>1.3.</w:t>
      </w:r>
      <w:r>
        <w:rPr>
          <w:rFonts w:ascii="Calibri" w:hAnsi="Calibri"/>
          <w:sz w:val="22"/>
        </w:rPr>
        <w:t xml:space="preserve"> Neutrali zona yra vidurinė aikštės dalis. Jos matmenys – 6,0 m ilgio (±0,05 m) ir 9,0 m pločio (±0,05 m); vidurio linija ją dalija į dvi dalis.</w:t>
      </w:r>
    </w:p>
    <w:p>
      <w:r>
        <w:rPr>
          <w:rFonts w:ascii="Calibri" w:hAnsi="Calibri"/>
          <w:b/>
          <w:sz w:val="22"/>
        </w:rPr>
        <w:t>1.4.</w:t>
      </w:r>
      <w:r>
        <w:rPr>
          <w:rFonts w:ascii="Calibri" w:hAnsi="Calibri"/>
          <w:sz w:val="22"/>
        </w:rPr>
        <w:t xml:space="preserve"> Visos linijos turi būti 0,05 m pločio (±0,01 m) ir pažymėtos lipniąja juosta. Po linijomis turi būti virvelė, padedanti žaidėjams orientuotis. Virvelės storis – 0,003 m (±0,0005 m); ji dedama po viršutiniu lipniosios juostos sluoksniu. Lipniosios juostos spalva turi kontrastuoti su grindimis ir kamuoliu, kad teisėjai bei regintys žiūrovai galėtų geriau matyti kamuolį ir aikštės ženklinimą.</w:t>
      </w:r>
    </w:p>
    <w:p>
      <w:r>
        <w:rPr>
          <w:rFonts w:ascii="Calibri" w:hAnsi="Calibri"/>
          <w:b/>
          <w:sz w:val="22"/>
        </w:rPr>
        <w:t>1.5.</w:t>
      </w:r>
      <w:r>
        <w:rPr>
          <w:rFonts w:ascii="Calibri" w:hAnsi="Calibri"/>
          <w:sz w:val="22"/>
        </w:rPr>
        <w:t xml:space="preserve"> Aikštės grindų paviršius turi būti lygus ir, kai varžybas sankcionuoja IBSA, patvirtintas techninio delegato. Paralimpinėse žaidynėse, pasaulio čempionatuose ir visuose kituose čempionatuose naudojama medinė, plastikinė arba sintetinė tampri grindų danga.</w:t>
      </w:r>
    </w:p>
    <w:p>
      <w:pPr>
        <w:pStyle w:val="Heading2"/>
      </w:pPr>
      <w:r>
        <w:rPr>
          <w:rFonts w:ascii="Calibri" w:hAnsi="Calibri"/>
          <w:sz w:val="22"/>
        </w:rPr>
        <w:t>2. Komandos suolelio zona</w:t>
      </w:r>
    </w:p>
    <w:p>
      <w:r>
        <w:rPr>
          <w:rFonts w:ascii="Calibri" w:hAnsi="Calibri"/>
          <w:b/>
          <w:sz w:val="22"/>
        </w:rPr>
        <w:t>2.1.</w:t>
      </w:r>
      <w:r>
        <w:rPr>
          <w:rFonts w:ascii="Calibri" w:hAnsi="Calibri"/>
          <w:sz w:val="22"/>
        </w:rPr>
        <w:t xml:space="preserve"> Kiekvienai komandai skiriama komandos suolelio zona. Ji įrengiama vienoje arba kitoje sekretoriato stalo pusėje, ne arčiau kaip 3,0 m nuo aikštės šoninės linijos. Zona turi būti 4,0 m ilgio (±0,05 m) ir 3,0 m pločio (±0,05 m), o visas jos perimetras pažymėtas lipniąja juosta su po ja esančia virvele.</w:t>
      </w:r>
    </w:p>
    <w:p>
      <w:r>
        <w:rPr>
          <w:rFonts w:ascii="Calibri" w:hAnsi="Calibri"/>
          <w:b/>
          <w:sz w:val="22"/>
        </w:rPr>
        <w:t>2.2.</w:t>
      </w:r>
      <w:r>
        <w:rPr>
          <w:rFonts w:ascii="Calibri" w:hAnsi="Calibri"/>
          <w:sz w:val="22"/>
        </w:rPr>
        <w:t xml:space="preserve"> Arčiausiai vartų linijos esantis komandos suolelio zonos galas turi sutapti su vartų linijos tęsiniu.</w:t>
      </w:r>
    </w:p>
    <w:p>
      <w:r>
        <w:rPr>
          <w:rFonts w:ascii="Calibri" w:hAnsi="Calibri"/>
          <w:b/>
          <w:sz w:val="22"/>
        </w:rPr>
        <w:t>2.3.</w:t>
      </w:r>
      <w:r>
        <w:rPr>
          <w:rFonts w:ascii="Calibri" w:hAnsi="Calibri"/>
          <w:sz w:val="22"/>
        </w:rPr>
        <w:t xml:space="preserve"> Po pirmojo kėlinio komandos apsikeičia suolelio zonomis kartu apsikeisdamos aikštės pusėmis.</w:t>
      </w:r>
    </w:p>
    <w:p>
      <w:r>
        <w:rPr>
          <w:rFonts w:ascii="Calibri" w:hAnsi="Calibri"/>
          <w:b/>
          <w:sz w:val="22"/>
        </w:rPr>
        <w:t>2.4.</w:t>
      </w:r>
      <w:r>
        <w:rPr>
          <w:rFonts w:ascii="Calibri" w:hAnsi="Calibri"/>
          <w:sz w:val="22"/>
        </w:rPr>
        <w:t xml:space="preserve"> Žaidimo metu visi komandos nariai, išskyrus tris aikštėje esančius žaidėjus, privalo likti jiems skirtoje suolelio zonoje ir bent viena kūno dalimi liesti jos ribą žyminčią juostą arba būti už jos. Nesilaikant šio reikalavimo skiriamas komandinis baudinys už laiko delsimą.</w:t>
      </w:r>
    </w:p>
    <w:p>
      <w:r>
        <w:rPr>
          <w:rFonts w:ascii="Calibri" w:hAnsi="Calibri"/>
          <w:b/>
          <w:sz w:val="22"/>
        </w:rPr>
        <w:t>2.5.</w:t>
      </w:r>
      <w:r>
        <w:rPr>
          <w:rFonts w:ascii="Calibri" w:hAnsi="Calibri"/>
          <w:sz w:val="22"/>
        </w:rPr>
        <w:t xml:space="preserve"> Jei traumą patyręs arba iš varžybų pasitraukęs žaidėjas nori sėdėti ant komandos suolelio, jis privalo vilkėti turnyro organizacinio komiteto išduotus atpažinimo marškinėlius. Toks žaidėjas laikomas varžybose nedalyvaujančiu asmeniu. Nesilaikantis šio reikalavimo žaidėjas privalės palikti žaidimo vietą.</w:t>
      </w:r>
    </w:p>
    <w:p>
      <w:pPr>
        <w:pStyle w:val="Heading2"/>
      </w:pPr>
      <w:r>
        <w:rPr>
          <w:rFonts w:ascii="Calibri" w:hAnsi="Calibri"/>
          <w:sz w:val="22"/>
        </w:rPr>
        <w:t>3. Vartai</w:t>
      </w:r>
    </w:p>
    <w:p>
      <w:r>
        <w:rPr>
          <w:rFonts w:ascii="Calibri" w:hAnsi="Calibri"/>
          <w:b/>
          <w:sz w:val="22"/>
        </w:rPr>
        <w:t>3.1.</w:t>
      </w:r>
      <w:r>
        <w:rPr>
          <w:rFonts w:ascii="Calibri" w:hAnsi="Calibri"/>
          <w:sz w:val="22"/>
        </w:rPr>
        <w:t xml:space="preserve"> Vartai įrengiami per visą kiekvieno aikštės galo plotį. Jų vidinis plotis turi būti 9,0 m (±0,05 m), aukštis – 1,3 m (±0,02 m), o gylis – ne mažesnis kaip 0,5 m, matuojant nuo skersinio priekio iki artimiausios galinės vartų dalies.</w:t>
      </w:r>
    </w:p>
    <w:p>
      <w:r>
        <w:rPr>
          <w:rFonts w:ascii="Calibri" w:hAnsi="Calibri"/>
          <w:b/>
          <w:sz w:val="22"/>
        </w:rPr>
        <w:t>3.2.</w:t>
      </w:r>
      <w:r>
        <w:rPr>
          <w:rFonts w:ascii="Calibri" w:hAnsi="Calibri"/>
          <w:sz w:val="22"/>
        </w:rPr>
        <w:t xml:space="preserve"> Skersinis turi būti standus.</w:t>
      </w:r>
    </w:p>
    <w:p>
      <w:r>
        <w:rPr>
          <w:rFonts w:ascii="Calibri" w:hAnsi="Calibri"/>
          <w:b/>
          <w:sz w:val="22"/>
        </w:rPr>
        <w:t>3.3.</w:t>
      </w:r>
      <w:r>
        <w:rPr>
          <w:rFonts w:ascii="Calibri" w:hAnsi="Calibri"/>
          <w:sz w:val="22"/>
        </w:rPr>
        <w:t xml:space="preserve"> Vartų virpstai ir skersinis turi būti apvalūs arba elipsės formos; jų skersmuo negali būti didesnis kaip 0,15 m.</w:t>
      </w:r>
    </w:p>
    <w:p>
      <w:r>
        <w:rPr>
          <w:rFonts w:ascii="Calibri" w:hAnsi="Calibri"/>
          <w:b/>
          <w:sz w:val="22"/>
        </w:rPr>
        <w:t>3.4.</w:t>
      </w:r>
      <w:r>
        <w:rPr>
          <w:rFonts w:ascii="Calibri" w:hAnsi="Calibri"/>
          <w:sz w:val="22"/>
        </w:rPr>
        <w:t xml:space="preserve"> Vartų virpstai pastatomi taip, kad virpsto vidinio priekinio krašto projekcija būtų už šoninės linijos, o pats kraštas sutaptų su galiniu vartų linijos kraštu.</w:t>
      </w:r>
    </w:p>
    <w:p>
      <w:pPr>
        <w:pStyle w:val="Heading2"/>
      </w:pPr>
      <w:r>
        <w:rPr>
          <w:rFonts w:ascii="Calibri" w:hAnsi="Calibri"/>
          <w:sz w:val="22"/>
        </w:rPr>
        <w:t>4. Kamuolys</w:t>
      </w:r>
    </w:p>
    <w:p>
      <w:r>
        <w:rPr>
          <w:rFonts w:ascii="Calibri" w:hAnsi="Calibri"/>
          <w:b/>
          <w:sz w:val="22"/>
        </w:rPr>
        <w:t>4.1.</w:t>
      </w:r>
      <w:r>
        <w:rPr>
          <w:rFonts w:ascii="Calibri" w:hAnsi="Calibri"/>
          <w:sz w:val="22"/>
        </w:rPr>
        <w:t xml:space="preserve"> Kamuolys turi atitikti šiuos reikalavimus:</w:t>
      </w:r>
    </w:p>
    <w:p>
      <w:pPr>
        <w:pStyle w:val="ListBullet"/>
      </w:pPr>
      <w:r>
        <w:rPr>
          <w:rFonts w:ascii="Calibri" w:hAnsi="Calibri"/>
          <w:sz w:val="22"/>
        </w:rPr>
        <w:t>forma ir skersmuo – kamuolys turi būti apvalus, 24–25 cm skersmens;</w:t>
      </w:r>
    </w:p>
    <w:p>
      <w:pPr>
        <w:pStyle w:val="ListBullet"/>
      </w:pPr>
      <w:r>
        <w:rPr>
          <w:rFonts w:ascii="Calibri" w:hAnsi="Calibri"/>
          <w:sz w:val="22"/>
        </w:rPr>
        <w:t>apimtis – 75,5–78,5 cm;</w:t>
      </w:r>
    </w:p>
    <w:p>
      <w:pPr>
        <w:pStyle w:val="ListBullet"/>
      </w:pPr>
      <w:r>
        <w:rPr>
          <w:rFonts w:ascii="Calibri" w:hAnsi="Calibri"/>
          <w:sz w:val="22"/>
        </w:rPr>
        <w:t>svoris – 1,250 kg (±0,050 kg);</w:t>
      </w:r>
    </w:p>
    <w:p>
      <w:pPr>
        <w:pStyle w:val="ListBullet"/>
      </w:pPr>
      <w:r>
        <w:rPr>
          <w:rFonts w:ascii="Calibri" w:hAnsi="Calibri"/>
          <w:sz w:val="22"/>
        </w:rPr>
        <w:t>garso angos – keturios viršutiniame pusrutulyje ir keturios, pakaitomis išdėstytos, apatiniame pusrutulyje;</w:t>
      </w:r>
    </w:p>
    <w:p>
      <w:pPr>
        <w:pStyle w:val="ListBullet"/>
      </w:pPr>
      <w:r>
        <w:rPr>
          <w:rFonts w:ascii="Calibri" w:hAnsi="Calibri"/>
          <w:sz w:val="22"/>
        </w:rPr>
        <w:t>varpeliai – 2 vienetai;</w:t>
      </w:r>
    </w:p>
    <w:p>
      <w:pPr>
        <w:pStyle w:val="ListBullet"/>
      </w:pPr>
      <w:r>
        <w:rPr>
          <w:rFonts w:ascii="Calibri" w:hAnsi="Calibri"/>
          <w:sz w:val="22"/>
        </w:rPr>
        <w:t>elastomeras – natūralus kaučiukas (NR);</w:t>
      </w:r>
    </w:p>
    <w:p>
      <w:pPr>
        <w:pStyle w:val="ListBullet"/>
      </w:pPr>
      <w:r>
        <w:rPr>
          <w:rFonts w:ascii="Calibri" w:hAnsi="Calibri"/>
          <w:sz w:val="22"/>
        </w:rPr>
        <w:t>kietumas pagal DIN 53505 standartą – 80–85 °Shore A;</w:t>
      </w:r>
    </w:p>
    <w:p>
      <w:pPr>
        <w:pStyle w:val="ListBullet"/>
      </w:pPr>
      <w:r>
        <w:rPr>
          <w:rFonts w:ascii="Calibri" w:hAnsi="Calibri"/>
          <w:sz w:val="22"/>
        </w:rPr>
        <w:t>spalva – mėlyna;</w:t>
      </w:r>
    </w:p>
    <w:p>
      <w:pPr>
        <w:pStyle w:val="ListBullet"/>
      </w:pPr>
      <w:r>
        <w:rPr>
          <w:rFonts w:ascii="Calibri" w:hAnsi="Calibri"/>
          <w:sz w:val="22"/>
        </w:rPr>
        <w:t>paviršius – gumbuotas;</w:t>
      </w:r>
    </w:p>
    <w:p>
      <w:pPr>
        <w:pStyle w:val="ListBullet"/>
      </w:pPr>
      <w:r>
        <w:rPr>
          <w:rFonts w:ascii="Calibri" w:hAnsi="Calibri"/>
          <w:sz w:val="22"/>
        </w:rPr>
        <w:t>kamuolyje negali būti toksikologinių komponentų.</w:t>
      </w:r>
    </w:p>
    <w:p>
      <w:r>
        <w:rPr>
          <w:rFonts w:ascii="Calibri" w:hAnsi="Calibri"/>
          <w:b/>
          <w:sz w:val="22"/>
        </w:rPr>
        <w:t>4.2.</w:t>
      </w:r>
      <w:r>
        <w:rPr>
          <w:rFonts w:ascii="Calibri" w:hAnsi="Calibri"/>
          <w:sz w:val="22"/>
        </w:rPr>
        <w:t xml:space="preserve"> IBSA sankcionuojamuose čempionatuose naudojamą kamuolį nustato organizacinis komitetas, o patvirtina techninis delegatas.</w:t>
      </w:r>
    </w:p>
    <w:p>
      <w:pPr>
        <w:pStyle w:val="Heading2"/>
      </w:pPr>
      <w:r>
        <w:rPr>
          <w:rFonts w:ascii="Calibri" w:hAnsi="Calibri"/>
          <w:sz w:val="22"/>
        </w:rPr>
        <w:t>5. Apranga</w:t>
      </w:r>
    </w:p>
    <w:p>
      <w:r>
        <w:rPr>
          <w:rFonts w:ascii="Calibri" w:hAnsi="Calibri"/>
          <w:b/>
          <w:sz w:val="22"/>
        </w:rPr>
        <w:t>5.1.</w:t>
      </w:r>
      <w:r>
        <w:rPr>
          <w:rFonts w:ascii="Calibri" w:hAnsi="Calibri"/>
          <w:sz w:val="22"/>
        </w:rPr>
        <w:t xml:space="preserve"> Visi komandos žaidėjai privalo vilkėti vienodus žaidimo marškinėlius.</w:t>
      </w:r>
    </w:p>
    <w:p>
      <w:r>
        <w:rPr>
          <w:rFonts w:ascii="Calibri" w:hAnsi="Calibri"/>
          <w:b/>
          <w:sz w:val="22"/>
        </w:rPr>
        <w:t>5.2.</w:t>
      </w:r>
      <w:r>
        <w:rPr>
          <w:rFonts w:ascii="Calibri" w:hAnsi="Calibri"/>
          <w:sz w:val="22"/>
        </w:rPr>
        <w:t xml:space="preserve"> Kiekvieno žaidėjo marškinėlių priekyje ir nugaroje turi būti visam laikui pritvirtintas numeris. Galima naudoti numerius nuo 1 iki 19. Numerio aukštis priekinėje marškinėlių pusėje turi būti ne mažesnis kaip 10 cm, o nugarinėje – ne mažesnis kaip 18 cm. Numerio negalima sukišti į šortus, uždengti apsaugomis ar kitaip paslėpti nuo teisėjų arba sekretoriato teisėjų. Priekinis numeris turi būti marškinėlių krūtinės srityje. Numerio ir marškinėlių spalvos turi ryškiai kontrastuoti. Už bet kurio iš šių reikalavimų nesilaikymą komandai skiriama techniniam delegatui mokėtina 100 Eur finansinė bauda.</w:t>
      </w:r>
    </w:p>
    <w:p>
      <w:r>
        <w:rPr>
          <w:rFonts w:ascii="Calibri" w:hAnsi="Calibri"/>
          <w:b/>
          <w:sz w:val="22"/>
        </w:rPr>
        <w:t>5.3.</w:t>
      </w:r>
      <w:r>
        <w:rPr>
          <w:rFonts w:ascii="Calibri" w:hAnsi="Calibri"/>
          <w:sz w:val="22"/>
        </w:rPr>
        <w:t xml:space="preserve"> Ant marškinėlių nugaros gali būti nurodyta žaidėjo valstybė ir (arba) pavardė. Raidžių aukštis negali viršyti 7 cm, nebent techninis delegatas patvirtintų kitaip.</w:t>
      </w:r>
    </w:p>
    <w:p>
      <w:r>
        <w:rPr>
          <w:rFonts w:ascii="Calibri" w:hAnsi="Calibri"/>
          <w:b/>
          <w:sz w:val="22"/>
        </w:rPr>
        <w:t>5.4.</w:t>
      </w:r>
      <w:r>
        <w:rPr>
          <w:rFonts w:ascii="Calibri" w:hAnsi="Calibri"/>
          <w:sz w:val="22"/>
        </w:rPr>
        <w:t xml:space="preserve"> Komandos nacionalinės rinktinės arba federacijos logotipas gali būti marškinėlių priekyje arba ant rankovės. Toks logotipas negali būti didesnis kaip 50 cm².</w:t>
      </w:r>
    </w:p>
    <w:p>
      <w:r>
        <w:rPr>
          <w:rFonts w:ascii="Calibri" w:hAnsi="Calibri"/>
          <w:b/>
          <w:sz w:val="22"/>
        </w:rPr>
        <w:t>5.5.</w:t>
      </w:r>
      <w:r>
        <w:rPr>
          <w:rFonts w:ascii="Calibri" w:hAnsi="Calibri"/>
          <w:sz w:val="22"/>
        </w:rPr>
        <w:t xml:space="preserve"> IBSA sankcionuojamuose turnyruose ant komandų marškinėlių leidžiama pateikti rėmėjų logotipus. Jie gali būti marškinėlių priekyje ir (arba) ant rankovių. Priekyje esančio logotipo plotas negali viršyti 450 cm², o ant rankovės – 50 cm².</w:t>
      </w:r>
    </w:p>
    <w:p>
      <w:r>
        <w:rPr>
          <w:rFonts w:ascii="Calibri" w:hAnsi="Calibri"/>
          <w:b/>
          <w:sz w:val="22"/>
        </w:rPr>
        <w:t>5.6.</w:t>
      </w:r>
      <w:r>
        <w:rPr>
          <w:rFonts w:ascii="Calibri" w:hAnsi="Calibri"/>
          <w:sz w:val="22"/>
        </w:rPr>
        <w:t xml:space="preserve"> Apranga, įranga ir apsaugos negali išsikišti nuo kūno daugiau kaip 10 cm jokia kryptimi. Žaidėjams leidžiama rungtyniauti tik su šiose taisyklėse aprašyta apranga arba su apranga, kurią techninis delegatas patvirtino pagal 5.1–5.5 taisykles.</w:t>
      </w:r>
    </w:p>
    <w:p>
      <w:r>
        <w:rPr>
          <w:rFonts w:ascii="Calibri" w:hAnsi="Calibri"/>
          <w:b/>
          <w:sz w:val="22"/>
        </w:rPr>
        <w:t>5.7.</w:t>
      </w:r>
      <w:r>
        <w:rPr>
          <w:rFonts w:ascii="Calibri" w:hAnsi="Calibri"/>
          <w:sz w:val="22"/>
        </w:rPr>
        <w:t xml:space="preserve"> Paralimpinėse žaidynėse visų vienos komandos žaidėjų marškinėliai, kelnės arba šortai ir kojinės turi būti vienodi bei atitikti visus Tarptautinio paralimpinio komiteto reklamos reikalavimus. Atsižvelgiant į sutartinį reklamos reikalavimų pobūdį, reikalavimų neatitinkančios aprangos dalys aikštėje neleidžiamos. Reikalavimų neatitinkantiems žaidėjams neleidžiama rungtyniauti.</w:t>
      </w:r>
    </w:p>
    <w:p>
      <w:r>
        <w:rPr>
          <w:rFonts w:ascii="Calibri" w:hAnsi="Calibri"/>
          <w:b/>
          <w:sz w:val="22"/>
        </w:rPr>
        <w:t>5.8.</w:t>
      </w:r>
      <w:r>
        <w:rPr>
          <w:rFonts w:ascii="Calibri" w:hAnsi="Calibri"/>
          <w:sz w:val="22"/>
        </w:rPr>
        <w:t xml:space="preserve"> Visuose IBSA sankcionuojamuose turnyruose visų vienos komandos žaidėjų marškinėliai, kelnės arba šortai ir kojinės turi būti vienodi bei atitikti visus IBSA reklamos reikalavimus.</w:t>
      </w:r>
    </w:p>
    <w:p>
      <w:r>
        <w:rPr>
          <w:rFonts w:ascii="Calibri" w:hAnsi="Calibri"/>
          <w:b/>
          <w:sz w:val="22"/>
        </w:rPr>
        <w:t>5.9.</w:t>
      </w:r>
      <w:r>
        <w:rPr>
          <w:rFonts w:ascii="Calibri" w:hAnsi="Calibri"/>
          <w:sz w:val="22"/>
        </w:rPr>
        <w:t xml:space="preserve"> Ant galvos dėvimos apsaugos arba kiti išoriniai daiktai negali trukdyti tinkamai uždėti ar naudoti golbolo akinių. Reikalavimų neatitinkantiems žaidėjams neleidžiama rungtyniauti, tačiau jie gali sėdėti komandos suolelio zonoje kaip rungtynėse nedalyvaujantys žaidėjai.</w:t>
      </w:r>
    </w:p>
    <w:p>
      <w:r>
        <w:rPr>
          <w:rFonts w:ascii="Calibri" w:hAnsi="Calibri"/>
          <w:b/>
          <w:sz w:val="22"/>
        </w:rPr>
        <w:t>5.10.</w:t>
      </w:r>
      <w:r>
        <w:rPr>
          <w:rFonts w:ascii="Calibri" w:hAnsi="Calibri"/>
          <w:sz w:val="22"/>
        </w:rPr>
        <w:t xml:space="preserve"> Komandos privalo turėti papildomą aprangą, jei žaidėjo apranga būtų sutepta krauju. Krauju suteptos aprangos dalys keičiamos tokio paties dizaino ir spalvų dalimis. Jei papildomos reikiamos aprangos dalies nėra, jos stokojančiam žaidėjui neleidžiama rungtyniauti iki rungtynių pabaigos.</w:t>
      </w:r>
    </w:p>
    <w:p>
      <w:r>
        <w:rPr>
          <w:rFonts w:ascii="Calibri" w:hAnsi="Calibri"/>
          <w:b/>
          <w:sz w:val="22"/>
        </w:rPr>
        <w:t>5.11.</w:t>
      </w:r>
      <w:r>
        <w:rPr>
          <w:rFonts w:ascii="Calibri" w:hAnsi="Calibri"/>
          <w:sz w:val="22"/>
        </w:rPr>
        <w:t xml:space="preserve"> Komandos taip pat privalo turėti du marškinėlių komplektus: namų ir svečių komandos. Šių komplektų spalvų deriniai turi aiškiai skirtis.</w:t>
      </w:r>
    </w:p>
    <w:p>
      <w:pPr>
        <w:pStyle w:val="Heading2"/>
      </w:pPr>
      <w:r>
        <w:rPr>
          <w:rFonts w:ascii="Calibri" w:hAnsi="Calibri"/>
          <w:sz w:val="22"/>
        </w:rPr>
        <w:t>6. Golbolo akiniai, akių tvarsčiai, regėjimą koreguojantys akiniai, kontaktiniai lęšiai ir klausos aparatai</w:t>
      </w:r>
    </w:p>
    <w:p>
      <w:r>
        <w:rPr>
          <w:rFonts w:ascii="Calibri" w:hAnsi="Calibri"/>
          <w:b/>
          <w:sz w:val="22"/>
        </w:rPr>
        <w:t>6.1.</w:t>
      </w:r>
      <w:r>
        <w:rPr>
          <w:rFonts w:ascii="Calibri" w:hAnsi="Calibri"/>
          <w:sz w:val="22"/>
        </w:rPr>
        <w:t xml:space="preserve"> Žaidėjams neleidžiama dėvėti regėjimą koreguojančių akinių arba kontaktinių lęšių.</w:t>
      </w:r>
    </w:p>
    <w:p>
      <w:r>
        <w:rPr>
          <w:rFonts w:ascii="Calibri" w:hAnsi="Calibri"/>
          <w:b/>
          <w:sz w:val="22"/>
        </w:rPr>
        <w:t>6.2.</w:t>
      </w:r>
      <w:r>
        <w:rPr>
          <w:rFonts w:ascii="Calibri" w:hAnsi="Calibri"/>
          <w:sz w:val="22"/>
        </w:rPr>
        <w:t xml:space="preserve"> Visi aikštėje esantys žaidėjai privalo dėvėti golbolo akinius nuo kėlinio pradžioje atliekamos jų patikros iki kėlinio pabaigos. Paskelbus keitimą ir keičiamam žaidėjui paliekant aikštę, jis gali nusiimti golbolo akinius. Nesilaikant šio reikalavimo skiriamas asmeninis baudinys už golbolo akinius.</w:t>
      </w:r>
    </w:p>
    <w:p>
      <w:r>
        <w:rPr>
          <w:rFonts w:ascii="Calibri" w:hAnsi="Calibri"/>
          <w:b/>
          <w:sz w:val="22"/>
        </w:rPr>
        <w:t>6.3.</w:t>
      </w:r>
      <w:r>
        <w:rPr>
          <w:rFonts w:ascii="Calibri" w:hAnsi="Calibri"/>
          <w:sz w:val="22"/>
        </w:rPr>
        <w:t xml:space="preserve"> Visi aikštėje esantys žaidėjai golbolo akinius privalo dėvėti ir per pratęsimą. Papildomų metimų metu juos privalo dėvėti visi žaidėjai, nesvarbu, ar jie yra aikštėje. Nesilaikant šio reikalavimo skiriamas asmeninis baudinys už golbolo akinius.</w:t>
      </w:r>
    </w:p>
    <w:p>
      <w:r>
        <w:rPr>
          <w:rFonts w:ascii="Calibri" w:hAnsi="Calibri"/>
          <w:b/>
          <w:sz w:val="22"/>
        </w:rPr>
        <w:t>6.4.</w:t>
      </w:r>
      <w:r>
        <w:rPr>
          <w:rFonts w:ascii="Calibri" w:hAnsi="Calibri"/>
          <w:sz w:val="22"/>
        </w:rPr>
        <w:t xml:space="preserve"> Visuose Tarptautinio paralimpinio komiteto arba IBSA sankcionuojamuose čempionatuose rungtynėse dalyvaujančių žaidėjų akys turi būti užklijuotos marlės tvarsčiais arba lygiaverte medžiaga. Tvarsčius prižiūri techninis delegatas arba kiekvienai komandai paskirtas ir techniniam delegatui žinomas asmuo, paprastai dešimties sekundžių laikmatis. Vietos organizacinis komitetas ne vėliau kaip prieš 60 dienų iki turnyro pradžios privalo paskelbti tvarsčių tipą, žymenį arba prekių ženklą, kad visos komandos žinotų, kokie tvarsčiai bus naudojami. Jei žaidėjui būtini kitokie tvarsčiai, komanda privalo pateikti techniniam delegatui medicininę pažymą ne vėliau kaip prieš dvi savaites iki turnyro pradžios. Patvirtinus kitokius tvarsčius, jų prašiusi komanda aprūpina žaidėją savo lėšomis.</w:t>
      </w:r>
    </w:p>
    <w:p>
      <w:r>
        <w:rPr>
          <w:rFonts w:ascii="Calibri" w:hAnsi="Calibri"/>
          <w:b/>
          <w:sz w:val="22"/>
        </w:rPr>
        <w:t>6.5.</w:t>
      </w:r>
      <w:r>
        <w:rPr>
          <w:rFonts w:ascii="Calibri" w:hAnsi="Calibri"/>
          <w:sz w:val="22"/>
        </w:rPr>
        <w:t xml:space="preserve"> Bet kokius turnyro organizatoriaus pateiktus golbolo akinius turi patvirtinti techninis delegatas, o juos privalo dėvėti visi žaidėjai. Nesilaikantis šio reikalavimo ir išankstinio rašytinio techninio delegato leidimo neturintis žaidėjas pašalinamas iš rungtynių; jį leidžiama pakeisti. Be to, visuose IBSA sankcionuojamuose turnyruose ir paralimpinėse žaidynėse visi žaidėjai privalo dėvėti golbolo akinius su nosies uždengimu („snapeliu“). Tokių akinių nedėvintiems žaidėjams rungtyniauti neleidžiama.</w:t>
      </w:r>
    </w:p>
    <w:p>
      <w:r>
        <w:rPr>
          <w:rFonts w:ascii="Calibri" w:hAnsi="Calibri"/>
          <w:b/>
          <w:sz w:val="22"/>
        </w:rPr>
        <w:t>6.6.</w:t>
      </w:r>
      <w:r>
        <w:rPr>
          <w:rFonts w:ascii="Calibri" w:hAnsi="Calibri"/>
          <w:sz w:val="22"/>
        </w:rPr>
        <w:t xml:space="preserve"> Žaidimo vietoje žaidėjams neleidžiama dėvėti arba naudoti klausos aparatų. Nesilaikantis šio reikalavimo žaidėjas pašalinamas iš rungtynių; jį leidžiama pakeisti.</w:t>
      </w:r>
    </w:p>
    <w:p>
      <w:r>
        <w:rPr>
          <w:rFonts w:ascii="Calibri" w:hAnsi="Calibri"/>
          <w:b/>
          <w:sz w:val="22"/>
        </w:rPr>
        <w:t>6.7.</w:t>
      </w:r>
      <w:r>
        <w:rPr>
          <w:rFonts w:ascii="Calibri" w:hAnsi="Calibri"/>
          <w:sz w:val="22"/>
        </w:rPr>
        <w:t xml:space="preserve"> Jei įrodoma, kad žaidėjas tyčia pakeitė golbolo akinių arba akių tvarsčių padėtį siekdamas įgyti pranašumą – galimybę matyti aikštėje – IBSA Golbolo sporto komitetas gali uždrausti jam iki dvejų metų dalyvauti IBSA renginiuose.</w:t>
      </w:r>
    </w:p>
    <w:p>
      <w:pPr>
        <w:pStyle w:val="Heading2"/>
      </w:pPr>
      <w:r>
        <w:rPr>
          <w:rFonts w:ascii="Calibri" w:hAnsi="Calibri"/>
          <w:sz w:val="22"/>
        </w:rPr>
        <w:t>7. Varžybų kategorijos ir klasifikacija</w:t>
      </w:r>
    </w:p>
    <w:p>
      <w:r>
        <w:rPr>
          <w:rFonts w:ascii="Calibri" w:hAnsi="Calibri"/>
          <w:b/>
          <w:sz w:val="22"/>
        </w:rPr>
        <w:t>7.1.</w:t>
      </w:r>
      <w:r>
        <w:rPr>
          <w:rFonts w:ascii="Calibri" w:hAnsi="Calibri"/>
          <w:sz w:val="22"/>
        </w:rPr>
        <w:t xml:space="preserve"> Varžybos skirstomos į dvi kategorijas: vyrų ir moterų.</w:t>
      </w:r>
    </w:p>
    <w:p>
      <w:r>
        <w:rPr>
          <w:rFonts w:ascii="Calibri" w:hAnsi="Calibri"/>
          <w:b/>
          <w:sz w:val="22"/>
        </w:rPr>
        <w:t>7.2.</w:t>
      </w:r>
      <w:r>
        <w:rPr>
          <w:rFonts w:ascii="Calibri" w:hAnsi="Calibri"/>
          <w:sz w:val="22"/>
        </w:rPr>
        <w:t xml:space="preserve"> IBSA sankcionuojamose varžybose visi žaidėjai privalo turėti galiojančią IBSA sportinę klasę B1, B2 arba B3.</w:t>
      </w:r>
    </w:p>
    <w:p>
      <w:pPr>
        <w:pStyle w:val="Heading2"/>
      </w:pPr>
      <w:r>
        <w:rPr>
          <w:rFonts w:ascii="Calibri" w:hAnsi="Calibri"/>
          <w:sz w:val="22"/>
        </w:rPr>
        <w:t>8. Komandos sudėtis</w:t>
      </w:r>
    </w:p>
    <w:p>
      <w:r>
        <w:rPr>
          <w:rFonts w:ascii="Calibri" w:hAnsi="Calibri"/>
          <w:b/>
          <w:sz w:val="22"/>
        </w:rPr>
        <w:t>8.1.</w:t>
      </w:r>
      <w:r>
        <w:rPr>
          <w:rFonts w:ascii="Calibri" w:hAnsi="Calibri"/>
          <w:sz w:val="22"/>
        </w:rPr>
        <w:t xml:space="preserve"> Kiekvienų rungtynių pradžioje komandą sudaro trys aikštėje esantys žaidėjai ir ne daugiau kaip trys atsarginiai žaidėjai. Jei komanda negali pradėti rungtynių su trimis aikštės žaidėjais, jai įskaitomas techninis pralaimėjimas. Techninis pralaimėjimas taip pat įskaitomas bet kuriuo rungtynių metu, kai komandai lieka tik vienas galintis žaisti žaidėjas.</w:t>
      </w:r>
    </w:p>
    <w:p>
      <w:r>
        <w:rPr>
          <w:rFonts w:ascii="Calibri" w:hAnsi="Calibri"/>
          <w:b/>
          <w:sz w:val="22"/>
        </w:rPr>
        <w:t>8.2.</w:t>
      </w:r>
      <w:r>
        <w:rPr>
          <w:rFonts w:ascii="Calibri" w:hAnsi="Calibri"/>
          <w:sz w:val="22"/>
        </w:rPr>
        <w:t xml:space="preserve"> Be to, žaidimo metu ant komandos suolelio gali būti ne daugiau kaip trys personalo nariai. Komandos suolelio zonoje leidžiama būti ne daugiau kaip devyniems asmenims, įskaitant tris rungtynes pradedančius žaidėjus. Jei šio reikalavimo nesilaikoma, papildomas asmuo privalo palikti žaidimo vietą.</w:t>
      </w:r>
    </w:p>
    <w:p>
      <w:r>
        <w:rPr>
          <w:rFonts w:ascii="Calibri" w:hAnsi="Calibri"/>
          <w:b/>
          <w:sz w:val="22"/>
        </w:rPr>
        <w:t>8.3.</w:t>
      </w:r>
      <w:r>
        <w:rPr>
          <w:rFonts w:ascii="Calibri" w:hAnsi="Calibri"/>
          <w:sz w:val="22"/>
        </w:rPr>
        <w:t xml:space="preserve"> Apie komandos suolelio zonoje būsiantį, bet rungtynėse nedalyvausiantį žaidėją arba žaidėjus teisėjams turi būti pranešta raštu per monetos metimą. Tokie žaidėjai privalo vilkėti turnyro organizacinio komiteto išduotus atpažinimo marškinėlius, antraip jiems neleidžiama sėdėti komandos suolelio zonoje. Nesilaikantis šio reikalavimo žaidėjas privalės palikti komandos suolelio zoną.</w:t>
      </w:r>
    </w:p>
    <w:p>
      <w:pPr>
        <w:pStyle w:val="Heading2"/>
      </w:pPr>
      <w:r>
        <w:rPr>
          <w:rFonts w:ascii="Calibri" w:hAnsi="Calibri"/>
          <w:sz w:val="22"/>
        </w:rPr>
        <w:t>9. Teisėjai ir kiti oficialūs asmenys</w:t>
      </w:r>
    </w:p>
    <w:p>
      <w:r>
        <w:rPr>
          <w:rFonts w:ascii="Calibri" w:hAnsi="Calibri"/>
          <w:b/>
          <w:sz w:val="22"/>
        </w:rPr>
        <w:t>9.1.</w:t>
      </w:r>
      <w:r>
        <w:rPr>
          <w:rFonts w:ascii="Calibri" w:hAnsi="Calibri"/>
          <w:sz w:val="22"/>
        </w:rPr>
        <w:t xml:space="preserve"> Paralimpinėse žaidynėse ir visuose IBSA sankcionuojamuose turnyruose kiekvienoms rungtynėms skiriami du aikštės teisėjai, keturi vartų teisėjai, vienas protokolo pildytojas, vienas rungtynių laiko matuotojas, du dešimties sekundžių laiko matuotojai ir vienas atsarginis laiko matuotojas.</w:t>
      </w:r>
    </w:p>
    <w:p>
      <w:r>
        <w:rPr>
          <w:rFonts w:ascii="Calibri" w:hAnsi="Calibri"/>
          <w:b/>
          <w:sz w:val="22"/>
        </w:rPr>
        <w:t>9.2.</w:t>
      </w:r>
      <w:r>
        <w:rPr>
          <w:rFonts w:ascii="Calibri" w:hAnsi="Calibri"/>
          <w:sz w:val="22"/>
        </w:rPr>
        <w:t xml:space="preserve"> Oficialių asmenų, teisėjų ir techninių oficialių asmenų pareigos aprašytos IBSA golbolo tarptautinių techninių oficialių asmenų (ITO) vadove.</w:t>
      </w:r>
    </w:p>
    <w:p>
      <w:pPr>
        <w:pStyle w:val="Heading1"/>
      </w:pPr>
      <w:r>
        <w:rPr>
          <w:rFonts w:ascii="Calibri" w:hAnsi="Calibri"/>
          <w:sz w:val="22"/>
        </w:rPr>
        <w:t>B skyrius. Prieš rungtynes</w:t>
      </w:r>
    </w:p>
    <w:p>
      <w:pPr>
        <w:pStyle w:val="Heading2"/>
      </w:pPr>
      <w:r>
        <w:rPr>
          <w:rFonts w:ascii="Calibri" w:hAnsi="Calibri"/>
          <w:sz w:val="22"/>
        </w:rPr>
        <w:t>10. Monetos metimas</w:t>
      </w:r>
    </w:p>
    <w:p>
      <w:r>
        <w:rPr>
          <w:rFonts w:ascii="Calibri" w:hAnsi="Calibri"/>
          <w:b/>
          <w:sz w:val="22"/>
        </w:rPr>
        <w:t>10.1.</w:t>
      </w:r>
      <w:r>
        <w:rPr>
          <w:rFonts w:ascii="Calibri" w:hAnsi="Calibri"/>
          <w:sz w:val="22"/>
        </w:rPr>
        <w:t xml:space="preserve"> Komandos atstovas privalo nustatytu laiku atvykti į nustatytą monetos metimo vietą. Neatvykusi komanda netenka teisės rinktis, ar pirma mes, ar ginsis, ir kurioje aikštės pusėje – kairėje ar dešinėje nuo sekretoriato stalo – pradės rungtynes. Jei neatvyksta nė viena komanda, rungtynių protokolo informaciniame lape pirmoji nurodyta komanda (A komanda) pradeda kairėje sekretoriato stalo pusėje ir valdo kamuolį.</w:t>
      </w:r>
    </w:p>
    <w:p>
      <w:r>
        <w:rPr>
          <w:rFonts w:ascii="Calibri" w:hAnsi="Calibri"/>
          <w:b/>
          <w:sz w:val="22"/>
        </w:rPr>
        <w:t>10.2.</w:t>
      </w:r>
      <w:r>
        <w:rPr>
          <w:rFonts w:ascii="Calibri" w:hAnsi="Calibri"/>
          <w:sz w:val="22"/>
        </w:rPr>
        <w:t xml:space="preserve"> Prieš rungtynes komandos atstovas privalo patikrinti ir patvirtinti rungtynių protokolo informacinį lapą: žaidėjų vardus, pavardes, numerius ir rungtynių metu komandos suolelio zonoje galėsiančių būti personalo narių sąrašą. Jei lapas nepateiktas, naudojamas ankstesnių rungtynių lapas. Jei jo nėra, naudojami turnyro organizaciniam komitetui registracijos paraiškoje pateikti asmenų vardai ir pareigos.</w:t>
      </w:r>
    </w:p>
    <w:p>
      <w:r>
        <w:rPr>
          <w:rFonts w:ascii="Calibri" w:hAnsi="Calibri"/>
          <w:b/>
          <w:sz w:val="22"/>
        </w:rPr>
        <w:t>10.3.</w:t>
      </w:r>
      <w:r>
        <w:rPr>
          <w:rFonts w:ascii="Calibri" w:hAnsi="Calibri"/>
          <w:sz w:val="22"/>
        </w:rPr>
        <w:t xml:space="preserve"> Kai rungtynėse būtina nustatyti nugalėtoją, per pirmąjį monetos metimą komandos atstovas užpildo teisėjo pateiktą žaidėjų eiliškumo lapą ir grąžina jį teisėjui per papildomų metimų monetos metimą. To nepadariusi komanda netenka pasirinkimo mesti arba gintis, o žaidėjų eilė nustatoma pagal rungtynių protokolo informacinį lapą. Jei lapo nepateikia nė viena komanda, kamuolį gauna A komanda.</w:t>
      </w:r>
    </w:p>
    <w:p>
      <w:r>
        <w:rPr>
          <w:rFonts w:ascii="Calibri" w:hAnsi="Calibri"/>
          <w:b/>
          <w:sz w:val="22"/>
        </w:rPr>
        <w:t>10.4.</w:t>
      </w:r>
      <w:r>
        <w:rPr>
          <w:rFonts w:ascii="Calibri" w:hAnsi="Calibri"/>
          <w:sz w:val="22"/>
        </w:rPr>
        <w:t xml:space="preserve"> Monetą meta techninio delegato patvirtintas arba paskirtas oficialus asmuo.</w:t>
      </w:r>
    </w:p>
    <w:p>
      <w:r>
        <w:rPr>
          <w:rFonts w:ascii="Calibri" w:hAnsi="Calibri"/>
          <w:b/>
          <w:sz w:val="22"/>
        </w:rPr>
        <w:t>10.5.</w:t>
      </w:r>
      <w:r>
        <w:rPr>
          <w:rFonts w:ascii="Calibri" w:hAnsi="Calibri"/>
          <w:sz w:val="22"/>
        </w:rPr>
        <w:t xml:space="preserve"> Monetos metimą laimėjusi komanda renkasi pirmoji mesti arba gintis arba pasirenka aikštės pusę (kairę arba dešinę), kurioje pradės rungtynes. Likusį pasirinkimą atlieka kita komanda.</w:t>
      </w:r>
    </w:p>
    <w:p>
      <w:r>
        <w:rPr>
          <w:rFonts w:ascii="Calibri" w:hAnsi="Calibri"/>
          <w:b/>
          <w:sz w:val="22"/>
        </w:rPr>
        <w:t>10.6.</w:t>
      </w:r>
      <w:r>
        <w:rPr>
          <w:rFonts w:ascii="Calibri" w:hAnsi="Calibri"/>
          <w:sz w:val="22"/>
        </w:rPr>
        <w:t xml:space="preserve"> Po pirmojo kėlinio komandos apsikeičia aikštės pusėmis. Antrąjį kėlinį pirmuoju metimu pradeda komanda, kuri rungtynių pradžioje gynėsi nuo pirmojo metimo.</w:t>
      </w:r>
    </w:p>
    <w:p>
      <w:r>
        <w:rPr>
          <w:rFonts w:ascii="Calibri" w:hAnsi="Calibri"/>
          <w:b/>
          <w:sz w:val="22"/>
        </w:rPr>
        <w:t>10.7.</w:t>
      </w:r>
      <w:r>
        <w:rPr>
          <w:rFonts w:ascii="Calibri" w:hAnsi="Calibri"/>
          <w:sz w:val="22"/>
        </w:rPr>
        <w:t xml:space="preserve"> Rungtyniauti leidžiama tik tų rungtynių žaidėjų eiliškumo lape nurodytiems žaidėjams. Pasigirdus rungtynių pradžios signalui, visi rungtynių protokolo informaciniame lape nurodyti komandos nariai turi būti aikštėje (trys žaidėjai) arba komandos suolelio zonoje. Nesilaikant reikalavimo skiriamas vienas komandinis baudinys už laiko delsimą.</w:t>
      </w:r>
    </w:p>
    <w:p>
      <w:pPr>
        <w:pStyle w:val="Heading2"/>
      </w:pPr>
      <w:r>
        <w:rPr>
          <w:rFonts w:ascii="Calibri" w:hAnsi="Calibri"/>
          <w:sz w:val="22"/>
        </w:rPr>
        <w:t>11. Apšilimas</w:t>
      </w:r>
    </w:p>
    <w:p>
      <w:r>
        <w:rPr>
          <w:rFonts w:ascii="Calibri" w:hAnsi="Calibri"/>
          <w:b/>
          <w:sz w:val="22"/>
        </w:rPr>
        <w:t>11.1.</w:t>
      </w:r>
      <w:r>
        <w:rPr>
          <w:rFonts w:ascii="Calibri" w:hAnsi="Calibri"/>
          <w:sz w:val="22"/>
        </w:rPr>
        <w:t xml:space="preserve"> Žaidėjams leidžiama apšilti toje aikštės pusėje, kurią jie gins. Mesti kamuolį kitos komandos aikštės pusės kryptimi draudžiama.</w:t>
      </w:r>
    </w:p>
    <w:p>
      <w:r>
        <w:rPr>
          <w:rFonts w:ascii="Calibri" w:hAnsi="Calibri"/>
          <w:b/>
          <w:sz w:val="22"/>
        </w:rPr>
        <w:t>11.2.</w:t>
      </w:r>
      <w:r>
        <w:rPr>
          <w:rFonts w:ascii="Calibri" w:hAnsi="Calibri"/>
          <w:sz w:val="22"/>
        </w:rPr>
        <w:t xml:space="preserve"> Jei per apšilimą komanda numeta kamuolį į varžovų aikštės pusę, teisėjas ją įspėja. Antrą kartą taip pasielgusiai komandai skiriamas komandinis baudinys už nesportišką elgesį. Už kiekvieną kitą tokį metimą skiriamas dar vienas komandinis baudinys už nesportišką elgesį; žaidėjas arba treneris taip pat gali būti pašalintas iš rungtynių.</w:t>
      </w:r>
    </w:p>
    <w:p>
      <w:pPr>
        <w:pStyle w:val="Heading2"/>
      </w:pPr>
      <w:r>
        <w:rPr>
          <w:rFonts w:ascii="Calibri" w:hAnsi="Calibri"/>
          <w:sz w:val="22"/>
        </w:rPr>
        <w:t>12. Rungtynių trukmė</w:t>
      </w:r>
    </w:p>
    <w:p>
      <w:r>
        <w:rPr>
          <w:rFonts w:ascii="Calibri" w:hAnsi="Calibri"/>
          <w:b/>
          <w:sz w:val="22"/>
        </w:rPr>
        <w:t>12.1.</w:t>
      </w:r>
      <w:r>
        <w:rPr>
          <w:rFonts w:ascii="Calibri" w:hAnsi="Calibri"/>
          <w:sz w:val="22"/>
        </w:rPr>
        <w:t xml:space="preserve"> Rungtynės trunka 24 minutes – du kėlinius po 12 minučių.</w:t>
      </w:r>
    </w:p>
    <w:p>
      <w:r>
        <w:rPr>
          <w:rFonts w:ascii="Calibri" w:hAnsi="Calibri"/>
          <w:b/>
          <w:sz w:val="22"/>
        </w:rPr>
        <w:t>12.2.</w:t>
      </w:r>
      <w:r>
        <w:rPr>
          <w:rFonts w:ascii="Calibri" w:hAnsi="Calibri"/>
          <w:sz w:val="22"/>
        </w:rPr>
        <w:t xml:space="preserve"> Tarp vienų rungtynių pabaigos ir kitų pradžios turi būti ne trumpesnė kaip 5 minučių pertrauka. Paralimpinėse žaidynėse ir visuose IBSA sankcionuojamuose turnyruose ji turi trukti ne trumpiau kaip 15 minučių.</w:t>
      </w:r>
    </w:p>
    <w:p>
      <w:r>
        <w:rPr>
          <w:rFonts w:ascii="Calibri" w:hAnsi="Calibri"/>
          <w:b/>
          <w:sz w:val="22"/>
        </w:rPr>
        <w:t>12.3.</w:t>
      </w:r>
      <w:r>
        <w:rPr>
          <w:rFonts w:ascii="Calibri" w:hAnsi="Calibri"/>
          <w:sz w:val="22"/>
        </w:rPr>
        <w:t xml:space="preserve"> Likus 5 minutėms iki rungtynių pradžios duodamas garsinis signalas. Antras garsinis signalas duodamas likus 90 sekundžių iki kiekvieno kėlinio pradžios.</w:t>
      </w:r>
    </w:p>
    <w:p>
      <w:r>
        <w:rPr>
          <w:rFonts w:ascii="Calibri" w:hAnsi="Calibri"/>
          <w:b/>
          <w:sz w:val="22"/>
        </w:rPr>
        <w:t>12.4.</w:t>
      </w:r>
      <w:r>
        <w:rPr>
          <w:rFonts w:ascii="Calibri" w:hAnsi="Calibri"/>
          <w:sz w:val="22"/>
        </w:rPr>
        <w:t xml:space="preserve"> Kėlinį pradėsiantys žaidėjai likus 90 sekundžių iki jo pradžios privalo būti aikštėje ir pasirengę teisėjų atliekamai golbolo akinių patikrai. Nesilaikant reikalavimo skiriamas komandinis baudinys už laiko delsimą.</w:t>
      </w:r>
    </w:p>
    <w:p>
      <w:r>
        <w:rPr>
          <w:rFonts w:ascii="Calibri" w:hAnsi="Calibri"/>
          <w:b/>
          <w:sz w:val="22"/>
        </w:rPr>
        <w:t>12.5.</w:t>
      </w:r>
      <w:r>
        <w:rPr>
          <w:rFonts w:ascii="Calibri" w:hAnsi="Calibri"/>
          <w:sz w:val="22"/>
        </w:rPr>
        <w:t xml:space="preserve"> Pertrauka tarp kėlinių trunka 5 minutes.</w:t>
      </w:r>
    </w:p>
    <w:p>
      <w:r>
        <w:rPr>
          <w:rFonts w:ascii="Calibri" w:hAnsi="Calibri"/>
          <w:b/>
          <w:sz w:val="22"/>
        </w:rPr>
        <w:t>12.6.</w:t>
      </w:r>
      <w:r>
        <w:rPr>
          <w:rFonts w:ascii="Calibri" w:hAnsi="Calibri"/>
          <w:sz w:val="22"/>
        </w:rPr>
        <w:t xml:space="preserve"> Sekretoriato teisėjui paskelbus „Time“ („Laikas“) arba nuskambėjus garsiniam signalui, visos komandos ir visi žaidėjai turi būti pasirengę pradėti žaidimą.</w:t>
      </w:r>
    </w:p>
    <w:p>
      <w:r>
        <w:rPr>
          <w:rFonts w:ascii="Calibri" w:hAnsi="Calibri"/>
          <w:b/>
          <w:sz w:val="22"/>
        </w:rPr>
        <w:t>12.7.</w:t>
      </w:r>
      <w:r>
        <w:rPr>
          <w:rFonts w:ascii="Calibri" w:hAnsi="Calibri"/>
          <w:sz w:val="22"/>
        </w:rPr>
        <w:t xml:space="preserve"> Kėlinys laikomas pasibaigusiu pasibaigus jam skirtam laikui.</w:t>
      </w:r>
    </w:p>
    <w:p>
      <w:pPr>
        <w:pStyle w:val="Heading1"/>
      </w:pPr>
      <w:r>
        <w:rPr>
          <w:rFonts w:ascii="Calibri" w:hAnsi="Calibri"/>
          <w:sz w:val="22"/>
        </w:rPr>
        <w:t>C skyrius. Rungtynių metu</w:t>
      </w:r>
    </w:p>
    <w:p>
      <w:pPr>
        <w:pStyle w:val="Heading2"/>
      </w:pPr>
      <w:r>
        <w:rPr>
          <w:rFonts w:ascii="Calibri" w:hAnsi="Calibri"/>
          <w:sz w:val="22"/>
        </w:rPr>
        <w:t>13. Rungtynių procedūra</w:t>
      </w:r>
    </w:p>
    <w:p>
      <w:r>
        <w:rPr>
          <w:rFonts w:ascii="Calibri" w:hAnsi="Calibri"/>
          <w:b/>
          <w:sz w:val="22"/>
        </w:rPr>
        <w:t>13.1.</w:t>
      </w:r>
      <w:r>
        <w:rPr>
          <w:rFonts w:ascii="Calibri" w:hAnsi="Calibri"/>
          <w:sz w:val="22"/>
        </w:rPr>
        <w:t xml:space="preserve"> Prieš pradėdamas rungtynes teisėjas paprašo išjungti mobiliuosius telefonus ir tylėti, kol žaidžiamas kamuolys. Jis paskelbia „Quiet please“ („Prašome tylos“), tada „Centre“ („Centras“) ir perduoda kamuolį pradėsiančiai komandai – arčiausiai centro pozicijos esančiam žaidėjui. Tada teisėjas sušvilpia tris kartus ir paskelbia „Play“ („Žaisti“).</w:t>
      </w:r>
    </w:p>
    <w:p>
      <w:r>
        <w:rPr>
          <w:rFonts w:ascii="Calibri" w:hAnsi="Calibri"/>
          <w:b/>
          <w:sz w:val="22"/>
        </w:rPr>
        <w:t>13.2.</w:t>
      </w:r>
      <w:r>
        <w:rPr>
          <w:rFonts w:ascii="Calibri" w:hAnsi="Calibri"/>
          <w:sz w:val="22"/>
        </w:rPr>
        <w:t xml:space="preserve"> Paskelbus „Play“, paleidžiami pagrindinis ir dešimties sekundžių laikmačiai.</w:t>
      </w:r>
    </w:p>
    <w:p>
      <w:r>
        <w:rPr>
          <w:rFonts w:ascii="Calibri" w:hAnsi="Calibri"/>
          <w:b/>
          <w:sz w:val="22"/>
        </w:rPr>
        <w:t>13.3.</w:t>
      </w:r>
      <w:r>
        <w:rPr>
          <w:rFonts w:ascii="Calibri" w:hAnsi="Calibri"/>
          <w:sz w:val="22"/>
        </w:rPr>
        <w:t xml:space="preserve"> Kėlinį teisėjas užbaigia vienu švilpuku ir atitinkama komanda: „Half time“ („Kėlinio pabaiga“), „Game“ („Rungtynių pabaiga“), „Overtime“ („Pratęsimas“), „Extra throws“ („Papildomi metimai“) arba „Sudden death extra throws“ („Lemiamieji papildomi metimai“). Tai leidžia žaidėjams liesti golbolo akinius ir patvirtina, kad iki kėlinio pabaigos nebuvo baudos situacijos. Per papildomus metimus ir tarp papildomų bei lemiamųjų papildomų metimų golbolo akinių liesti negalima.</w:t>
      </w:r>
    </w:p>
    <w:p>
      <w:r>
        <w:rPr>
          <w:rFonts w:ascii="Calibri" w:hAnsi="Calibri"/>
          <w:b/>
          <w:sz w:val="22"/>
        </w:rPr>
        <w:t>13.4.</w:t>
      </w:r>
      <w:r>
        <w:rPr>
          <w:rFonts w:ascii="Calibri" w:hAnsi="Calibri"/>
          <w:sz w:val="22"/>
        </w:rPr>
        <w:t xml:space="preserve"> Teisėjui sušvilpus rungtynių ir dešimties sekundžių laikmačiai sustabdomi, o paskelbus „Play“ – paleidžiami, išskyrus baudos situaciją. Jos metu rungtynių laikmatis sustabdytas.</w:t>
      </w:r>
    </w:p>
    <w:p>
      <w:r>
        <w:rPr>
          <w:rFonts w:ascii="Calibri" w:hAnsi="Calibri"/>
          <w:b/>
          <w:sz w:val="22"/>
        </w:rPr>
        <w:t>13.5.</w:t>
      </w:r>
      <w:r>
        <w:rPr>
          <w:rFonts w:ascii="Calibri" w:hAnsi="Calibri"/>
          <w:sz w:val="22"/>
        </w:rPr>
        <w:t xml:space="preserve"> Grąžinant kamuolį į žaidimą, teisėjas arba vartų teisėjas jį padeda prie šoninės linijos, 1,5 m priešais arčiausiai tos vietos, kur kamuolys išriedėjo, esantį vartų virpstą. Teisėjas paskelbia „Quiet please“, vieną kartą sušvilpia ir paskelbia „Play“; tada vėl paleidžiami abu laikmačiai. Kamuoliui kirtus vidurio liniją ir po įvarčio komanda kamuolį gali pasilikti.</w:t>
      </w:r>
    </w:p>
    <w:p>
      <w:r>
        <w:rPr>
          <w:rFonts w:ascii="Calibri" w:hAnsi="Calibri"/>
          <w:b/>
          <w:sz w:val="22"/>
        </w:rPr>
        <w:t>13.6.</w:t>
      </w:r>
      <w:r>
        <w:rPr>
          <w:rFonts w:ascii="Calibri" w:hAnsi="Calibri"/>
          <w:sz w:val="22"/>
        </w:rPr>
        <w:t xml:space="preserve"> Jei metimo metu kamuolys, nepalietęs besiginančios komandos, išmetamas per šoninę liniją, teisėjas vieną kartą sušvilpia ir paskelbia „Out“ („Autas“). Rungtynių laikmatis sustabdomas, o dešimties sekundžių laikmatis sustabdomas ir nustatomas iš naujo. Kamuolys grąžinamas pagal 13.5 taisyklę; abu laikmačiai paleidžiami paskelbus „Play“.</w:t>
      </w:r>
    </w:p>
    <w:p>
      <w:r>
        <w:rPr>
          <w:rFonts w:ascii="Calibri" w:hAnsi="Calibri"/>
          <w:b/>
          <w:sz w:val="22"/>
        </w:rPr>
        <w:t>13.7.</w:t>
      </w:r>
      <w:r>
        <w:rPr>
          <w:rFonts w:ascii="Calibri" w:hAnsi="Calibri"/>
          <w:sz w:val="22"/>
        </w:rPr>
        <w:t xml:space="preserve"> Jei komandos zonoje atremtas kamuolys daugiau kaip puse savo skersmens kerta šoninę liniją ir juda iš aikštės, teisėjas vieną kartą sušvilpia ir paskelbia „Blocked out“ („Atremtas kamuolys už aikštės“). Abu laikmačiai sustabdomi. Kamuolys grąžinamas pagal 13.5 taisyklę, o abu laikmačiai paleidžiami paskelbus „Play“.</w:t>
      </w:r>
    </w:p>
    <w:p>
      <w:r>
        <w:rPr>
          <w:rFonts w:ascii="Calibri" w:hAnsi="Calibri"/>
          <w:b/>
          <w:sz w:val="22"/>
        </w:rPr>
        <w:t>13.8.</w:t>
      </w:r>
      <w:r>
        <w:rPr>
          <w:rFonts w:ascii="Calibri" w:hAnsi="Calibri"/>
          <w:sz w:val="22"/>
        </w:rPr>
        <w:t xml:space="preserve"> Kai sustabdžius rungtynių laikmatį teisėjas arba vartų teisėjas grąžina kamuolį ties 1,5 m linija priešais vartų virpstą, teisėjas visada paskelbia „Quiet please“, vieną kartą sušvilpia ir paskelbia „Play“, net jei nė vienas komandos narys nebando kamuolio paimti.</w:t>
      </w:r>
    </w:p>
    <w:p>
      <w:r>
        <w:rPr>
          <w:rFonts w:ascii="Calibri" w:hAnsi="Calibri"/>
          <w:b/>
          <w:sz w:val="22"/>
        </w:rPr>
        <w:t>13.9.</w:t>
      </w:r>
      <w:r>
        <w:rPr>
          <w:rFonts w:ascii="Calibri" w:hAnsi="Calibri"/>
          <w:sz w:val="22"/>
        </w:rPr>
        <w:t xml:space="preserve"> Aikštėje draudžiamos papildomos orientavimosi priemonės. Už pažeidimą skiriamas asmeninis baudinys už laiko delsimą.</w:t>
      </w:r>
    </w:p>
    <w:p>
      <w:r>
        <w:rPr>
          <w:rFonts w:ascii="Calibri" w:hAnsi="Calibri"/>
          <w:b/>
          <w:sz w:val="22"/>
        </w:rPr>
        <w:t>13.10.</w:t>
      </w:r>
      <w:r>
        <w:rPr>
          <w:rFonts w:ascii="Calibri" w:hAnsi="Calibri"/>
          <w:sz w:val="22"/>
        </w:rPr>
        <w:t xml:space="preserve"> Pasibaigus baudos situacijai teisėjas arba vartų teisėjas gali padėti žaidėjui susiorientuoti prie vartų virpsto. Jei teisėjui tenka tai daryti kitu metu, skiriamas asmeninis baudinys už laiko delsimą.</w:t>
      </w:r>
    </w:p>
    <w:p>
      <w:r>
        <w:rPr>
          <w:rFonts w:ascii="Calibri" w:hAnsi="Calibri"/>
          <w:b/>
          <w:sz w:val="22"/>
        </w:rPr>
        <w:t>13.11.</w:t>
      </w:r>
      <w:r>
        <w:rPr>
          <w:rFonts w:ascii="Calibri" w:hAnsi="Calibri"/>
          <w:sz w:val="22"/>
        </w:rPr>
        <w:t xml:space="preserve"> Jei mestas kamuolys sustoja besiginančios komandos zonoje nė vienam jos žaidėjui jo nepalietus, skelbiama „Dead ball“ („Nežaidžiamas kamuolys“). Teisėjas sušvilpia, paskelbia „Dead ball“, o oficialus asmuo perduoda kamuolį besiginančiai komandai pagal 13.5 taisyklę. Taip pat skelbiama, kai kamuolys, nepalietęs gynėjo, atsitrenkia į vartų virpstą ar skersinį ir sustoja komandos zonoje arba pirmojoje neutralios zonos pusėje. Švilpiama tik kamuoliui visiškai sustojus.</w:t>
      </w:r>
    </w:p>
    <w:p>
      <w:r>
        <w:rPr>
          <w:rFonts w:ascii="Calibri" w:hAnsi="Calibri"/>
          <w:b/>
          <w:sz w:val="22"/>
        </w:rPr>
        <w:t>13.12.</w:t>
      </w:r>
      <w:r>
        <w:rPr>
          <w:rFonts w:ascii="Calibri" w:hAnsi="Calibri"/>
          <w:sz w:val="22"/>
        </w:rPr>
        <w:t xml:space="preserve"> Komandos narys dėl bet kokios priežasties, įskaitant medicinos pagalbą ar įrangos taisymą, gali palikti žaidimo vietą tik oficialiai sustabdžius žaidimą ir gavęs teisėjo leidimą. Iki to kėlinio pabaigos jis grįžti negali. Už pažeidimą skiriamas komandinis baudinys už laiko delsimą.</w:t>
      </w:r>
    </w:p>
    <w:p>
      <w:pPr>
        <w:pStyle w:val="Heading2"/>
      </w:pPr>
      <w:r>
        <w:rPr>
          <w:rFonts w:ascii="Calibri" w:hAnsi="Calibri"/>
          <w:sz w:val="22"/>
        </w:rPr>
        <w:t>14. Įvarčiai</w:t>
      </w:r>
    </w:p>
    <w:p>
      <w:r>
        <w:rPr>
          <w:rFonts w:ascii="Calibri" w:hAnsi="Calibri"/>
          <w:b/>
          <w:sz w:val="22"/>
        </w:rPr>
        <w:t>14.1.</w:t>
      </w:r>
      <w:r>
        <w:rPr>
          <w:rFonts w:ascii="Calibri" w:hAnsi="Calibri"/>
          <w:sz w:val="22"/>
        </w:rPr>
        <w:t xml:space="preserve"> Kai rungtynių laikmatis eina, kamuolys yra žaidžiamas ir visiškai kerta vartų liniją (žr. 1 priedą), įskaitomas įvartis. Teisėjas sušvilpia du kartus ir paskelbia įvartį. Laikmatis sustabdomas sulig pirmuoju švilpuku.</w:t>
      </w:r>
    </w:p>
    <w:p>
      <w:r>
        <w:rPr>
          <w:rFonts w:ascii="Calibri" w:hAnsi="Calibri"/>
          <w:b/>
          <w:sz w:val="22"/>
        </w:rPr>
        <w:t>14.2.</w:t>
      </w:r>
      <w:r>
        <w:rPr>
          <w:rFonts w:ascii="Calibri" w:hAnsi="Calibri"/>
          <w:sz w:val="22"/>
        </w:rPr>
        <w:t xml:space="preserve"> Baudos situacijoje, kai rungtynių laikmatis neina, visiškai vartų liniją kirtus kamuoliui taip pat įskaitomas įvartis.</w:t>
      </w:r>
    </w:p>
    <w:p>
      <w:r>
        <w:rPr>
          <w:rFonts w:ascii="Calibri" w:hAnsi="Calibri"/>
          <w:b/>
          <w:sz w:val="22"/>
        </w:rPr>
        <w:t>14.3.</w:t>
      </w:r>
      <w:r>
        <w:rPr>
          <w:rFonts w:ascii="Calibri" w:hAnsi="Calibri"/>
          <w:sz w:val="22"/>
        </w:rPr>
        <w:t xml:space="preserve"> Jei mestas kamuolys pajudina arba numuša besiginančio žaidėjo golbolo akinius, žaidimas tęsiamas, kol kamuolys suvaldomas, atremiamas už aikštės arba pelnomas įvartis.</w:t>
      </w:r>
    </w:p>
    <w:p>
      <w:r>
        <w:rPr>
          <w:rFonts w:ascii="Calibri" w:hAnsi="Calibri"/>
          <w:b/>
          <w:sz w:val="22"/>
        </w:rPr>
        <w:t>14.4.</w:t>
      </w:r>
      <w:r>
        <w:rPr>
          <w:rFonts w:ascii="Calibri" w:hAnsi="Calibri"/>
          <w:sz w:val="22"/>
        </w:rPr>
        <w:t xml:space="preserve"> Pasibaigus pagrindiniam laikui laimi daugiau įvarčių pelniusi komanda.</w:t>
      </w:r>
    </w:p>
    <w:p>
      <w:r>
        <w:rPr>
          <w:rFonts w:ascii="Calibri" w:hAnsi="Calibri"/>
          <w:b/>
          <w:sz w:val="22"/>
        </w:rPr>
        <w:t>14.5.</w:t>
      </w:r>
      <w:r>
        <w:rPr>
          <w:rFonts w:ascii="Calibri" w:hAnsi="Calibri"/>
          <w:sz w:val="22"/>
        </w:rPr>
        <w:t xml:space="preserve"> Rungtynės nedelsiant baigiamos, kai viena komanda įgyja 10 įvarčių persvarą.</w:t>
      </w:r>
    </w:p>
    <w:p>
      <w:pPr>
        <w:pStyle w:val="Heading2"/>
      </w:pPr>
      <w:r>
        <w:rPr>
          <w:rFonts w:ascii="Calibri" w:hAnsi="Calibri"/>
          <w:sz w:val="22"/>
        </w:rPr>
        <w:t>15. Komandos minutės pertraukėlė</w:t>
      </w:r>
    </w:p>
    <w:p>
      <w:r>
        <w:rPr>
          <w:rFonts w:ascii="Calibri" w:hAnsi="Calibri"/>
          <w:b/>
          <w:sz w:val="22"/>
        </w:rPr>
        <w:t>15.1.</w:t>
      </w:r>
      <w:r>
        <w:rPr>
          <w:rFonts w:ascii="Calibri" w:hAnsi="Calibri"/>
          <w:sz w:val="22"/>
        </w:rPr>
        <w:t xml:space="preserve"> Per rungtynes kiekviena komanda gali prašyti keturių 45 sekundžių pertraukėlių. Bent viena turi būti panaudota pirmajame kėlinyje, kitaip ji prarandama. Vienai komandai paprašius pertraukėlės, ja gali naudotis abi.</w:t>
      </w:r>
    </w:p>
    <w:p>
      <w:r>
        <w:rPr>
          <w:rFonts w:ascii="Calibri" w:hAnsi="Calibri"/>
          <w:b/>
          <w:sz w:val="22"/>
        </w:rPr>
        <w:t>15.2.</w:t>
      </w:r>
      <w:r>
        <w:rPr>
          <w:rFonts w:ascii="Calibri" w:hAnsi="Calibri"/>
          <w:sz w:val="22"/>
        </w:rPr>
        <w:t xml:space="preserve"> Per pratęsimą kiekvienai komandai skiriama viena pertraukėlė; pagrindiniu laiku nepanaudotos pertraukėlės prarandamos.</w:t>
      </w:r>
    </w:p>
    <w:p>
      <w:r>
        <w:rPr>
          <w:rFonts w:ascii="Calibri" w:hAnsi="Calibri"/>
          <w:b/>
          <w:sz w:val="22"/>
        </w:rPr>
        <w:t>15.3.</w:t>
      </w:r>
      <w:r>
        <w:rPr>
          <w:rFonts w:ascii="Calibri" w:hAnsi="Calibri"/>
          <w:sz w:val="22"/>
        </w:rPr>
        <w:t xml:space="preserve"> Kamuolį valdanti komanda gali prašyti pertraukėlės. Teisėjui švilpuku sustabdžius žaidimą, jos gali prašyti bet kuri komanda.</w:t>
      </w:r>
    </w:p>
    <w:p>
      <w:r>
        <w:rPr>
          <w:rFonts w:ascii="Calibri" w:hAnsi="Calibri"/>
          <w:b/>
          <w:sz w:val="22"/>
        </w:rPr>
        <w:t>15.4.</w:t>
      </w:r>
      <w:r>
        <w:rPr>
          <w:rFonts w:ascii="Calibri" w:hAnsi="Calibri"/>
          <w:sz w:val="22"/>
        </w:rPr>
        <w:t xml:space="preserve"> Bet kuris komandos narys gali parodyti pertraukėlės gestą (žr. 1 priedą) ir (arba) pasakyti „Time-out“. Gestą galima parodyti dar neįgijus kamuolio kontrolės, tačiau žodžiu prašyti leidžiama tik komandai jį suvaldžius. Už pažeidimą skiriamas komandinis baudinys už neteisėtą instruktavimą.</w:t>
      </w:r>
    </w:p>
    <w:p>
      <w:r>
        <w:rPr>
          <w:rFonts w:ascii="Calibri" w:hAnsi="Calibri"/>
          <w:b/>
          <w:sz w:val="22"/>
        </w:rPr>
        <w:t>15.5.</w:t>
      </w:r>
      <w:r>
        <w:rPr>
          <w:rFonts w:ascii="Calibri" w:hAnsi="Calibri"/>
          <w:sz w:val="22"/>
        </w:rPr>
        <w:t xml:space="preserve"> Pertraukėlė prasideda teisėjui paskelbus ją ir paprašiusios komandos pavadinimą. Tada bet kuris komandos suolelio zonoje esantis asmuo gali įeiti į aikštę.</w:t>
      </w:r>
    </w:p>
    <w:p>
      <w:r>
        <w:rPr>
          <w:rFonts w:ascii="Calibri" w:hAnsi="Calibri"/>
          <w:b/>
          <w:sz w:val="22"/>
        </w:rPr>
        <w:t>15.6.</w:t>
      </w:r>
      <w:r>
        <w:rPr>
          <w:rFonts w:ascii="Calibri" w:hAnsi="Calibri"/>
          <w:sz w:val="22"/>
        </w:rPr>
        <w:t xml:space="preserve"> Dešimties sekundžių laiko matuotojas matuoja 45 sekundes ir duoda garsinį signalą likus 15 sekundžių bei laikui pasibaigus. Tada visi komandos nariai, išskyrus aikštės žaidėjus, turi būti suolelio zonoje. Už pažeidimą skiriamas komandinis baudinys už laiko delsimą.</w:t>
      </w:r>
    </w:p>
    <w:p>
      <w:r>
        <w:rPr>
          <w:rFonts w:ascii="Calibri" w:hAnsi="Calibri"/>
          <w:b/>
          <w:sz w:val="22"/>
        </w:rPr>
        <w:t>15.7.</w:t>
      </w:r>
      <w:r>
        <w:rPr>
          <w:rFonts w:ascii="Calibri" w:hAnsi="Calibri"/>
          <w:sz w:val="22"/>
        </w:rPr>
        <w:t xml:space="preserve"> Nuskambėjus 15 sekundžių signalui teisėjai paskelbia „15 seconds“ („15 sekundžių“).</w:t>
      </w:r>
    </w:p>
    <w:p>
      <w:r>
        <w:rPr>
          <w:rFonts w:ascii="Calibri" w:hAnsi="Calibri"/>
          <w:b/>
          <w:sz w:val="22"/>
        </w:rPr>
        <w:t>15.8.</w:t>
      </w:r>
      <w:r>
        <w:rPr>
          <w:rFonts w:ascii="Calibri" w:hAnsi="Calibri"/>
          <w:sz w:val="22"/>
        </w:rPr>
        <w:t xml:space="preserve"> Pertraukėlės paprašiusi komanda iki jos pabaigos gali paprašyti keitimo; tada įskaitoma ir pertraukėlė, ir keitimas. Prašymas įvykdomas pasibaigus 45 sekundėms. Jei keitimo prašoma jau pasibaigus pertraukėlei, skiriamas komandinis baudinys už laiko delsimą.</w:t>
      </w:r>
    </w:p>
    <w:p>
      <w:r>
        <w:rPr>
          <w:rFonts w:ascii="Calibri" w:hAnsi="Calibri"/>
          <w:b/>
          <w:sz w:val="22"/>
        </w:rPr>
        <w:t>15.9.</w:t>
      </w:r>
      <w:r>
        <w:rPr>
          <w:rFonts w:ascii="Calibri" w:hAnsi="Calibri"/>
          <w:sz w:val="22"/>
        </w:rPr>
        <w:t xml:space="preserve"> Po pertraukėlės turi būti atliktas bent vienas metimas, tik tada ta pati komanda gali prašyti kitos pertraukėlės arba keitimo.</w:t>
      </w:r>
    </w:p>
    <w:p>
      <w:r>
        <w:rPr>
          <w:rFonts w:ascii="Calibri" w:hAnsi="Calibri"/>
          <w:b/>
          <w:sz w:val="22"/>
        </w:rPr>
        <w:t>15.10.</w:t>
      </w:r>
      <w:r>
        <w:rPr>
          <w:rFonts w:ascii="Calibri" w:hAnsi="Calibri"/>
          <w:sz w:val="22"/>
        </w:rPr>
        <w:t xml:space="preserve"> Jei komanda prašo daugiau kaip keturių pertraukėlių per pagrindinį laiką, daugiau kaip trijų antrajame kėlinyje arba daugiau kaip vienos per pratęsimą, prašymas atmetamas ir iškart skiriamas komandinis baudinys už laiko delsimą.</w:t>
      </w:r>
    </w:p>
    <w:p>
      <w:r>
        <w:rPr>
          <w:rFonts w:ascii="Calibri" w:hAnsi="Calibri"/>
          <w:b/>
          <w:sz w:val="22"/>
        </w:rPr>
        <w:t>15.11.</w:t>
      </w:r>
      <w:r>
        <w:rPr>
          <w:rFonts w:ascii="Calibri" w:hAnsi="Calibri"/>
          <w:sz w:val="22"/>
        </w:rPr>
        <w:t xml:space="preserve"> Teisėjui paskelbus „Quiet please“, visas bendravimas nuo suolelio turi nutrūkti. Priešingu atveju skiriamas komandinis baudinys už neteisėtą instruktavimą.</w:t>
      </w:r>
    </w:p>
    <w:p>
      <w:pPr>
        <w:pStyle w:val="Heading2"/>
      </w:pPr>
      <w:r>
        <w:rPr>
          <w:rFonts w:ascii="Calibri" w:hAnsi="Calibri"/>
          <w:sz w:val="22"/>
        </w:rPr>
        <w:t>16. Teisėjo pertraukėlė</w:t>
      </w:r>
    </w:p>
    <w:p>
      <w:r>
        <w:rPr>
          <w:rFonts w:ascii="Calibri" w:hAnsi="Calibri"/>
          <w:b/>
          <w:sz w:val="22"/>
        </w:rPr>
        <w:t>16.1.</w:t>
      </w:r>
      <w:r>
        <w:rPr>
          <w:rFonts w:ascii="Calibri" w:hAnsi="Calibri"/>
          <w:sz w:val="22"/>
        </w:rPr>
        <w:t xml:space="preserve"> Teisėjas gali bet kada paskelbti teisėjo pertraukėlę.</w:t>
      </w:r>
    </w:p>
    <w:p>
      <w:r>
        <w:rPr>
          <w:rFonts w:ascii="Calibri" w:hAnsi="Calibri"/>
          <w:b/>
          <w:sz w:val="22"/>
        </w:rPr>
        <w:t>16.2.</w:t>
      </w:r>
      <w:r>
        <w:rPr>
          <w:rFonts w:ascii="Calibri" w:hAnsi="Calibri"/>
          <w:sz w:val="22"/>
        </w:rPr>
        <w:t xml:space="preserve"> Jei ji paskelbta švilpuku, kamuolį išlaiko jį valdžiusi komanda. Jai kamuolio neturint pertraukėlės pabaigoje, vartų teisėjas jį padeda 1,5 m priešais vartų virpstą pagal 13.5 taisyklę.</w:t>
      </w:r>
    </w:p>
    <w:p>
      <w:r>
        <w:rPr>
          <w:rFonts w:ascii="Calibri" w:hAnsi="Calibri"/>
          <w:b/>
          <w:sz w:val="22"/>
        </w:rPr>
        <w:t>16.3.</w:t>
      </w:r>
      <w:r>
        <w:rPr>
          <w:rFonts w:ascii="Calibri" w:hAnsi="Calibri"/>
          <w:sz w:val="22"/>
        </w:rPr>
        <w:t xml:space="preserve"> Teisėjo pertraukėlės trukmė neribojama.</w:t>
      </w:r>
    </w:p>
    <w:p>
      <w:r>
        <w:rPr>
          <w:rFonts w:ascii="Calibri" w:hAnsi="Calibri"/>
          <w:b/>
          <w:sz w:val="22"/>
        </w:rPr>
        <w:t>16.4.</w:t>
      </w:r>
      <w:r>
        <w:rPr>
          <w:rFonts w:ascii="Calibri" w:hAnsi="Calibri"/>
          <w:sz w:val="22"/>
        </w:rPr>
        <w:t xml:space="preserve"> Jos metu suolelio nariai gali bendrauti su aikštės žaidėjais iki teisėjas paskelbia „Quiet please“. Po šios komandos bendravimas turi nutrūkti; už pažeidimą skiriamas komandinis baudinys už neteisėtą instruktavimą pagal 15.11 taisyklę.</w:t>
      </w:r>
    </w:p>
    <w:p>
      <w:r>
        <w:rPr>
          <w:rFonts w:ascii="Calibri" w:hAnsi="Calibri"/>
          <w:b/>
          <w:sz w:val="22"/>
        </w:rPr>
        <w:t>16.5.</w:t>
      </w:r>
      <w:r>
        <w:rPr>
          <w:rFonts w:ascii="Calibri" w:hAnsi="Calibri"/>
          <w:sz w:val="22"/>
        </w:rPr>
        <w:t xml:space="preserve"> Pasibaigus teisėjo pertraukėlei paaiškinimui („Official’s time-out – Clarification“), prie sekretoriato stalo esantis teisėjas abiem komandoms ir žiūrovams paaiškina sprendimo priežastį ir priimtą sprendimą.</w:t>
      </w:r>
    </w:p>
    <w:p>
      <w:pPr>
        <w:pStyle w:val="Heading2"/>
      </w:pPr>
      <w:r>
        <w:rPr>
          <w:rFonts w:ascii="Calibri" w:hAnsi="Calibri"/>
          <w:sz w:val="22"/>
        </w:rPr>
        <w:t>17. Medicininė pertraukėlė</w:t>
      </w:r>
    </w:p>
    <w:p>
      <w:r>
        <w:rPr>
          <w:rFonts w:ascii="Calibri" w:hAnsi="Calibri"/>
          <w:b/>
          <w:sz w:val="22"/>
        </w:rPr>
        <w:t>17.1.</w:t>
      </w:r>
      <w:r>
        <w:rPr>
          <w:rFonts w:ascii="Calibri" w:hAnsi="Calibri"/>
          <w:sz w:val="22"/>
        </w:rPr>
        <w:t xml:space="preserve"> Medicininė pertraukėlė trunka ne ilgiau kaip 45 sekundes. Žaidėjui susižeidus ar susirgus ją gali paskelbti teisėjas. Pasitaręs su medicinos personalu, po 45 sekundžių teisėjas nusprendžia, ar žaidėjas gali tęsti rungtynes.</w:t>
      </w:r>
    </w:p>
    <w:p>
      <w:r>
        <w:rPr>
          <w:rFonts w:ascii="Calibri" w:hAnsi="Calibri"/>
          <w:b/>
          <w:sz w:val="22"/>
        </w:rPr>
        <w:t>17.2.</w:t>
      </w:r>
      <w:r>
        <w:rPr>
          <w:rFonts w:ascii="Calibri" w:hAnsi="Calibri"/>
          <w:sz w:val="22"/>
        </w:rPr>
        <w:t xml:space="preserve"> Pertraukėlę matuoja tuo metu dešimties sekundžių laiko nematuojantis šio laiko matuotojas.</w:t>
      </w:r>
    </w:p>
    <w:p>
      <w:r>
        <w:rPr>
          <w:rFonts w:ascii="Calibri" w:hAnsi="Calibri"/>
          <w:b/>
          <w:sz w:val="22"/>
        </w:rPr>
        <w:t>17.3.</w:t>
      </w:r>
      <w:r>
        <w:rPr>
          <w:rFonts w:ascii="Calibri" w:hAnsi="Calibri"/>
          <w:sz w:val="22"/>
        </w:rPr>
        <w:t xml:space="preserve"> Garsinis signalas duodamas likus 15 sekundžių iki pertraukėlės pabaigos ir jai pasibaigus.</w:t>
      </w:r>
    </w:p>
    <w:p>
      <w:r>
        <w:rPr>
          <w:rFonts w:ascii="Calibri" w:hAnsi="Calibri"/>
          <w:b/>
          <w:sz w:val="22"/>
        </w:rPr>
        <w:t>17.4.</w:t>
      </w:r>
      <w:r>
        <w:rPr>
          <w:rFonts w:ascii="Calibri" w:hAnsi="Calibri"/>
          <w:sz w:val="22"/>
        </w:rPr>
        <w:t xml:space="preserve"> Jei teisėjas nusprendžia, kad pertraukėlei pasibaigus traumuotas žaidėjas nepasirengęs žaisti, atliekamas medicininis keitimas. Vėliau treneris gali jį grąžinti į rungtynes įprastu keitimu.</w:t>
      </w:r>
    </w:p>
    <w:p>
      <w:r>
        <w:rPr>
          <w:rFonts w:ascii="Calibri" w:hAnsi="Calibri"/>
          <w:b/>
          <w:sz w:val="22"/>
        </w:rPr>
        <w:t>17.5.</w:t>
      </w:r>
      <w:r>
        <w:rPr>
          <w:rFonts w:ascii="Calibri" w:hAnsi="Calibri"/>
          <w:sz w:val="22"/>
        </w:rPr>
        <w:t xml:space="preserve"> Per medicininę pertraukėlę į aikštę gali įeiti iki trijų asmenų iš komandos suolelio zonos. Jie privalo likti prie traumuoto žaidėjo ir iki pertraukėlės pabaigos grįžti į suolelio zoną. Likus 15 sekundžių duodamas signalas. Jei asmenys laiku negrįžta arba įeina daugiau kaip trys, skiriamas komandinis baudinys už laiko delsimą. Jei traumuotas žaidėjas buvo parinktas ginti baudos metimą ir tęsti negali, prieš metimą atliekamas medicininis keitimas; varžovų treneris negali jo pasirinkti baudos metimo gynėju.</w:t>
      </w:r>
    </w:p>
    <w:p>
      <w:pPr>
        <w:pStyle w:val="Heading2"/>
      </w:pPr>
      <w:r>
        <w:rPr>
          <w:rFonts w:ascii="Calibri" w:hAnsi="Calibri"/>
          <w:sz w:val="22"/>
        </w:rPr>
        <w:t>18. Kraujo taisyklė</w:t>
      </w:r>
    </w:p>
    <w:p>
      <w:r>
        <w:rPr>
          <w:rFonts w:ascii="Calibri" w:hAnsi="Calibri"/>
          <w:b/>
          <w:sz w:val="22"/>
        </w:rPr>
        <w:t>18.1.</w:t>
      </w:r>
      <w:r>
        <w:rPr>
          <w:rFonts w:ascii="Calibri" w:hAnsi="Calibri"/>
          <w:sz w:val="22"/>
        </w:rPr>
        <w:t xml:space="preserve"> Teisėjui pastebėjus kraujuojančią traumą skelbiama medicininė pertraukėlė. Žaidėjas pašalinamas iš aikštės ir gali grįžti tik sustabdžius kraujavimą, uždengus žaizdą ir, jei reikia, pakeitus aprangą. Jei tai neatliekama per medicininę pertraukėlę, būtinas medicininis keitimas.</w:t>
      </w:r>
    </w:p>
    <w:p>
      <w:r>
        <w:rPr>
          <w:rFonts w:ascii="Calibri" w:hAnsi="Calibri"/>
          <w:b/>
          <w:sz w:val="22"/>
        </w:rPr>
        <w:t>18.2.</w:t>
      </w:r>
      <w:r>
        <w:rPr>
          <w:rFonts w:ascii="Calibri" w:hAnsi="Calibri"/>
          <w:sz w:val="22"/>
        </w:rPr>
        <w:t xml:space="preserve"> Dėl kraujavimo pakeistas žaidėjas laikomas pakeistu medicininiu keitimu. Jis gali grįžti treneriui atlikus įprastą keitimą ir tik teisėjui patvirtinus, kad įvykdyti 18.1 reikalavimai.</w:t>
      </w:r>
    </w:p>
    <w:p>
      <w:r>
        <w:rPr>
          <w:rFonts w:ascii="Calibri" w:hAnsi="Calibri"/>
          <w:b/>
          <w:sz w:val="22"/>
        </w:rPr>
        <w:t>18.3.</w:t>
      </w:r>
      <w:r>
        <w:rPr>
          <w:rFonts w:ascii="Calibri" w:hAnsi="Calibri"/>
          <w:sz w:val="22"/>
        </w:rPr>
        <w:t xml:space="preserve"> Prieš tęsiant žaidimą visi užteršti paviršiai turi būti tinkamai nuvalyti.</w:t>
      </w:r>
    </w:p>
    <w:p>
      <w:r>
        <w:rPr>
          <w:rFonts w:ascii="Calibri" w:hAnsi="Calibri"/>
          <w:b/>
          <w:sz w:val="22"/>
        </w:rPr>
        <w:t>18.4.</w:t>
      </w:r>
      <w:r>
        <w:rPr>
          <w:rFonts w:ascii="Calibri" w:hAnsi="Calibri"/>
          <w:sz w:val="22"/>
        </w:rPr>
        <w:t xml:space="preserve"> Jei žaidėjas neturi papildomų marškinėlių su tuo pačiu numeriu, jam leidžiama vilkėti kito, komandos dar nenaudojamo numerio marškinėlius, apie tai pranešus teisėjui. Teisėjas paskelbia pakeitimą. Marškinėlių spalva turi sutapti su kitų tos komandos žaidėjų rungtynėse vilkimų marškinėlių spalva.</w:t>
      </w:r>
    </w:p>
    <w:p>
      <w:r>
        <w:rPr>
          <w:rFonts w:ascii="Calibri" w:hAnsi="Calibri"/>
          <w:b/>
          <w:sz w:val="22"/>
        </w:rPr>
        <w:t>18.5.</w:t>
      </w:r>
      <w:r>
        <w:rPr>
          <w:rFonts w:ascii="Calibri" w:hAnsi="Calibri"/>
          <w:sz w:val="22"/>
        </w:rPr>
        <w:t xml:space="preserve"> Prie sekretoriato stalo esantis teisėjas praneša kitai komandai ir žiūrovams apie numerio pakeitimą. Jis įrašomas pagrindinio laiko rungtynių protokole.</w:t>
      </w:r>
    </w:p>
    <w:p>
      <w:pPr>
        <w:pStyle w:val="Heading2"/>
      </w:pPr>
      <w:r>
        <w:rPr>
          <w:rFonts w:ascii="Calibri" w:hAnsi="Calibri"/>
          <w:sz w:val="22"/>
        </w:rPr>
        <w:t>19. Žaidėjų keitimai</w:t>
      </w:r>
    </w:p>
    <w:p>
      <w:r>
        <w:rPr>
          <w:rFonts w:ascii="Calibri" w:hAnsi="Calibri"/>
          <w:b/>
          <w:sz w:val="22"/>
        </w:rPr>
        <w:t>19.1.</w:t>
      </w:r>
      <w:r>
        <w:rPr>
          <w:rFonts w:ascii="Calibri" w:hAnsi="Calibri"/>
          <w:sz w:val="22"/>
        </w:rPr>
        <w:t xml:space="preserve"> Per rungtynes kiekvienai komandai leidžiami keturi keitimai. Bent vienas turi būti atliktas pirmajame kėlinyje, kitaip jis prarandamas.</w:t>
      </w:r>
    </w:p>
    <w:p>
      <w:r>
        <w:rPr>
          <w:rFonts w:ascii="Calibri" w:hAnsi="Calibri"/>
          <w:b/>
          <w:sz w:val="22"/>
        </w:rPr>
        <w:t>19.2.</w:t>
      </w:r>
      <w:r>
        <w:rPr>
          <w:rFonts w:ascii="Calibri" w:hAnsi="Calibri"/>
          <w:sz w:val="22"/>
        </w:rPr>
        <w:t xml:space="preserve"> Per pratęsimą leidžiamas vienas keitimas; pagrindiniu laiku nepanaudoti keitimai prarandami.</w:t>
      </w:r>
    </w:p>
    <w:p>
      <w:r>
        <w:rPr>
          <w:rFonts w:ascii="Calibri" w:hAnsi="Calibri"/>
          <w:b/>
          <w:sz w:val="22"/>
        </w:rPr>
        <w:t>19.3.</w:t>
      </w:r>
      <w:r>
        <w:rPr>
          <w:rFonts w:ascii="Calibri" w:hAnsi="Calibri"/>
          <w:sz w:val="22"/>
        </w:rPr>
        <w:t xml:space="preserve"> Tą patį žaidėją galima keisti daugiau nei vieną kartą.</w:t>
      </w:r>
    </w:p>
    <w:p>
      <w:r>
        <w:rPr>
          <w:rFonts w:ascii="Calibri" w:hAnsi="Calibri"/>
          <w:b/>
          <w:sz w:val="22"/>
        </w:rPr>
        <w:t>19.4.</w:t>
      </w:r>
      <w:r>
        <w:rPr>
          <w:rFonts w:ascii="Calibri" w:hAnsi="Calibri"/>
          <w:sz w:val="22"/>
        </w:rPr>
        <w:t xml:space="preserve"> Kamuolį valdanti komanda gali prašyti keitimo. Sustabdžius rungtynių laikmatį jo gali prašyti bet kuri komanda.</w:t>
      </w:r>
    </w:p>
    <w:p>
      <w:r>
        <w:rPr>
          <w:rFonts w:ascii="Calibri" w:hAnsi="Calibri"/>
          <w:b/>
          <w:sz w:val="22"/>
        </w:rPr>
        <w:t>19.5.</w:t>
      </w:r>
      <w:r>
        <w:rPr>
          <w:rFonts w:ascii="Calibri" w:hAnsi="Calibri"/>
          <w:sz w:val="22"/>
        </w:rPr>
        <w:t xml:space="preserve"> Bet kuris komandos narys gali parodyti keitimo gestą (žr. 1 priedą) ir (arba) pasakyti „Substitution“ („Keitimas“). Gestą galima parodyti dar neįgijus kamuolio kontrolės, tačiau žodžiu prašyti leidžiama tik komandai suvaldžius kamuolį. Už pažeidimą skiriamas komandinis baudinys už neteisėtą instruktavimą.</w:t>
      </w:r>
    </w:p>
    <w:p>
      <w:r>
        <w:rPr>
          <w:rFonts w:ascii="Calibri" w:hAnsi="Calibri"/>
          <w:b/>
          <w:sz w:val="22"/>
        </w:rPr>
        <w:t>19.6.</w:t>
      </w:r>
      <w:r>
        <w:rPr>
          <w:rFonts w:ascii="Calibri" w:hAnsi="Calibri"/>
          <w:sz w:val="22"/>
        </w:rPr>
        <w:t xml:space="preserve"> Keitimas prasideda teisėjui paskelbus jį ir paprašiusios komandos pavadinimą.</w:t>
      </w:r>
    </w:p>
    <w:p>
      <w:r>
        <w:rPr>
          <w:rFonts w:ascii="Calibri" w:hAnsi="Calibri"/>
          <w:b/>
          <w:sz w:val="22"/>
        </w:rPr>
        <w:t>19.7.</w:t>
      </w:r>
      <w:r>
        <w:rPr>
          <w:rFonts w:ascii="Calibri" w:hAnsi="Calibri"/>
          <w:sz w:val="22"/>
        </w:rPr>
        <w:t xml:space="preserve"> Teisėjui paskelbus keitimą, komanda gali anglų kalba pasakyti iš aikštės išeinančio, tada įeinančio žaidėjo numerį, parodyti juos keitimo lentelėse ta pačia tvarka arba abu būdus naudoti kartu.</w:t>
      </w:r>
    </w:p>
    <w:p>
      <w:r>
        <w:rPr>
          <w:rFonts w:ascii="Calibri" w:hAnsi="Calibri"/>
          <w:b/>
          <w:sz w:val="22"/>
        </w:rPr>
        <w:t>19.8.</w:t>
      </w:r>
      <w:r>
        <w:rPr>
          <w:rFonts w:ascii="Calibri" w:hAnsi="Calibri"/>
          <w:sz w:val="22"/>
        </w:rPr>
        <w:t xml:space="preserve"> Turnyre, kuriame akys klijuojamos tvarsčiais, įeinančio žaidėjo akys jau turi būti užklijuotos, o jis pasirengęs golbolo akinių patikrai. Dėl trenerio arba žaidėjo sukelto delsimo skiriamas komandinis baudinys už laiko delsimą.</w:t>
      </w:r>
    </w:p>
    <w:p>
      <w:r>
        <w:rPr>
          <w:rFonts w:ascii="Calibri" w:hAnsi="Calibri"/>
          <w:b/>
          <w:sz w:val="22"/>
        </w:rPr>
        <w:t>19.9.</w:t>
      </w:r>
      <w:r>
        <w:rPr>
          <w:rFonts w:ascii="Calibri" w:hAnsi="Calibri"/>
          <w:sz w:val="22"/>
        </w:rPr>
        <w:t xml:space="preserve"> Keitimo paprašiusi komanda iki jo pabaigos gali prašyti pertraukėlės; tada įskaitomi ir keitimas, ir pertraukėlė.</w:t>
      </w:r>
    </w:p>
    <w:p>
      <w:r>
        <w:rPr>
          <w:rFonts w:ascii="Calibri" w:hAnsi="Calibri"/>
          <w:b/>
          <w:sz w:val="22"/>
        </w:rPr>
        <w:t>19.10.</w:t>
      </w:r>
      <w:r>
        <w:rPr>
          <w:rFonts w:ascii="Calibri" w:hAnsi="Calibri"/>
          <w:sz w:val="22"/>
        </w:rPr>
        <w:t xml:space="preserve"> Vienu metu galima atlikti daugiau nei vieną keitimą. Tačiau jį užbaigus turi būti atliktas bent vienas metimas, tik tada ta pati komanda gali prašyti kito keitimo arba pertraukėlės. Keitimas baigtas, kai įeinantis žaidėjas įžengia į aikštę. Už pažeidimą skiriamas komandinis baudinys už laiko delsimą.</w:t>
      </w:r>
    </w:p>
    <w:p>
      <w:r>
        <w:rPr>
          <w:rFonts w:ascii="Calibri" w:hAnsi="Calibri"/>
          <w:b/>
          <w:sz w:val="22"/>
        </w:rPr>
        <w:t>19.11.</w:t>
      </w:r>
      <w:r>
        <w:rPr>
          <w:rFonts w:ascii="Calibri" w:hAnsi="Calibri"/>
          <w:sz w:val="22"/>
        </w:rPr>
        <w:t xml:space="preserve"> Teisėjui paskelbus komandos pavadinimą ir išeinančio žaidėjo numerį, šis gali nusiimti golbolo akinius bei tvarsčius ir eiti į suolelio zoną. Vartų teisėjas gali padėti jam išeiti ir palydėti įeinantį žaidėją prie arčiausiai suolelio zonos esančio vartų virpsto. Jei išeinantis žaidėjas paliečia akinius iki paskelbiami komandos pavadinimas ir jo numeris, skiriamas baudinys už golbolo akinius.</w:t>
      </w:r>
    </w:p>
    <w:p>
      <w:r>
        <w:rPr>
          <w:rFonts w:ascii="Calibri" w:hAnsi="Calibri"/>
          <w:b/>
          <w:sz w:val="22"/>
        </w:rPr>
        <w:t>19.12.</w:t>
      </w:r>
      <w:r>
        <w:rPr>
          <w:rFonts w:ascii="Calibri" w:hAnsi="Calibri"/>
          <w:sz w:val="22"/>
        </w:rPr>
        <w:t xml:space="preserve"> Baudos situacijos metu keitimai leidžiami, išskyrus nubausto žaidėjo keitimą.</w:t>
      </w:r>
    </w:p>
    <w:p>
      <w:r>
        <w:rPr>
          <w:rFonts w:ascii="Calibri" w:hAnsi="Calibri"/>
          <w:b/>
          <w:sz w:val="22"/>
        </w:rPr>
        <w:t>19.13.</w:t>
      </w:r>
      <w:r>
        <w:rPr>
          <w:rFonts w:ascii="Calibri" w:hAnsi="Calibri"/>
          <w:sz w:val="22"/>
        </w:rPr>
        <w:t xml:space="preserve"> Keitimo metu abiejų komandų suoleliams leidžiama instruktuoti žaidėjus iki teisėjas paskelbia „Quiet please“. Tęsiant instruktavimą skiriamas komandinis baudinys už neteisėtą instruktavimą.</w:t>
      </w:r>
    </w:p>
    <w:p>
      <w:r>
        <w:rPr>
          <w:rFonts w:ascii="Calibri" w:hAnsi="Calibri"/>
          <w:b/>
          <w:sz w:val="22"/>
        </w:rPr>
        <w:t>19.14.</w:t>
      </w:r>
      <w:r>
        <w:rPr>
          <w:rFonts w:ascii="Calibri" w:hAnsi="Calibri"/>
          <w:sz w:val="22"/>
        </w:rPr>
        <w:t xml:space="preserve"> Keitimai per pertrauką tarp kėlinių ir tarp pagrindinio laiko bei pratęsimo neįskaitomi į likusių keitimų skaičių. Per kėlinio pertrauką apie juos pranešama protokolo pildytojui, o prie sekretoriato stalo esantis teisėjas juos paskelbia kito žaidimo laikotarpio pradžioje. Laiku nepranešus skiriamas komandinis baudinys už laiko delsimą.</w:t>
      </w:r>
    </w:p>
    <w:p>
      <w:r>
        <w:rPr>
          <w:rFonts w:ascii="Calibri" w:hAnsi="Calibri"/>
          <w:b/>
          <w:sz w:val="22"/>
        </w:rPr>
        <w:t>19.15.</w:t>
      </w:r>
      <w:r>
        <w:rPr>
          <w:rFonts w:ascii="Calibri" w:hAnsi="Calibri"/>
          <w:sz w:val="22"/>
        </w:rPr>
        <w:t xml:space="preserve"> Jei komanda prašo daugiau kaip keturių keitimų per pagrindinį laiką, daugiau kaip trijų antrajame kėlinyje arba daugiau kaip vieno per pratęsimą, prašymas atmetamas ir skiriamas komandinis baudinys už laiko delsimą.</w:t>
      </w:r>
    </w:p>
    <w:p>
      <w:pPr>
        <w:pStyle w:val="Heading2"/>
      </w:pPr>
      <w:r>
        <w:rPr>
          <w:rFonts w:ascii="Calibri" w:hAnsi="Calibri"/>
          <w:sz w:val="22"/>
        </w:rPr>
        <w:t>20. Medicininiai keitimai</w:t>
      </w:r>
    </w:p>
    <w:p>
      <w:r>
        <w:rPr>
          <w:rFonts w:ascii="Calibri" w:hAnsi="Calibri"/>
          <w:b/>
          <w:sz w:val="22"/>
        </w:rPr>
        <w:t>20.1.</w:t>
      </w:r>
      <w:r>
        <w:rPr>
          <w:rFonts w:ascii="Calibri" w:hAnsi="Calibri"/>
          <w:sz w:val="22"/>
        </w:rPr>
        <w:t xml:space="preserve"> Medicininis keitimas neįskaitomas į keturis pagrindinio laiko arba vieną pratęsimo keitimą.</w:t>
      </w:r>
    </w:p>
    <w:p>
      <w:r>
        <w:rPr>
          <w:rFonts w:ascii="Calibri" w:hAnsi="Calibri"/>
          <w:b/>
          <w:sz w:val="22"/>
        </w:rPr>
        <w:t>20.2.</w:t>
      </w:r>
      <w:r>
        <w:rPr>
          <w:rFonts w:ascii="Calibri" w:hAnsi="Calibri"/>
          <w:sz w:val="22"/>
        </w:rPr>
        <w:t xml:space="preserve"> Dvi tam pačiam žaidėjui per pagrindinį laiką ir pratęsimą paskelbtos medicininės pertraukėlės teisėjo sprendimu lemia jo pašalinimą iš aikštės iki to kėlinio pabaigos. Bet kuriame paskesniame kėlinyje tam pačiam žaidėjui prireikus naujo medicininio sustabdymo, nedelsiant atliekamas medicininis keitimas ir tame kėlinyje jis grįžti nebegali.</w:t>
      </w:r>
    </w:p>
    <w:p>
      <w:r>
        <w:rPr>
          <w:rFonts w:ascii="Calibri" w:hAnsi="Calibri"/>
          <w:b/>
          <w:sz w:val="22"/>
        </w:rPr>
        <w:t>20.3.</w:t>
      </w:r>
      <w:r>
        <w:rPr>
          <w:rFonts w:ascii="Calibri" w:hAnsi="Calibri"/>
          <w:sz w:val="22"/>
        </w:rPr>
        <w:t xml:space="preserve"> Paskelbus medicininę pertraukėlę teisėjas sprendžia, ar žaidėjas gali tęsti rungtynes. Jei po 45 sekundžių nusprendžiama, kad negali, žaidėjas turi būti pakeistas, tačiau treneris vėliau gali jį grąžinti įprastu keitimu. Medicininio keitimo metu komanda gali bendrauti su aikštės žaidėjais iki teisėjas paskelbia „Quiet please“. Už tolesnį bendravimą skiriamas komandinis baudinys už neteisėtą instruktavimą.</w:t>
      </w:r>
    </w:p>
    <w:p>
      <w:pPr>
        <w:pStyle w:val="Heading1"/>
      </w:pPr>
      <w:r>
        <w:rPr>
          <w:rFonts w:ascii="Calibri" w:hAnsi="Calibri"/>
          <w:sz w:val="22"/>
        </w:rPr>
        <w:t>D skyrius. Pažeidimai</w:t>
      </w:r>
    </w:p>
    <w:p>
      <w:r>
        <w:rPr>
          <w:rFonts w:ascii="Calibri" w:hAnsi="Calibri"/>
          <w:sz w:val="22"/>
        </w:rPr>
        <w:t>Įvykus pažeidimui, teisėjas, jei būtina, sušvilpia ir paskelbia pažeidimą. Kamuolys perduodamas pažeidimo nepadariusiai komandai.</w:t>
      </w:r>
    </w:p>
    <w:p>
      <w:pPr>
        <w:pStyle w:val="Heading2"/>
      </w:pPr>
      <w:r>
        <w:rPr>
          <w:rFonts w:ascii="Calibri" w:hAnsi="Calibri"/>
          <w:sz w:val="22"/>
        </w:rPr>
        <w:t>21. Per ankstyvas metimas</w:t>
      </w:r>
    </w:p>
    <w:p>
      <w:r>
        <w:rPr>
          <w:rFonts w:ascii="Calibri" w:hAnsi="Calibri"/>
          <w:b/>
          <w:sz w:val="22"/>
        </w:rPr>
        <w:t>21.1.</w:t>
      </w:r>
      <w:r>
        <w:rPr>
          <w:rFonts w:ascii="Calibri" w:hAnsi="Calibri"/>
          <w:sz w:val="22"/>
        </w:rPr>
        <w:t xml:space="preserve"> Per ankstyvas metimas fiksuojamas, kai žaidėjas meta kamuolį prieš teisėjui paskelbiant „Play“ („Žaisti“).</w:t>
      </w:r>
    </w:p>
    <w:p>
      <w:pPr>
        <w:pStyle w:val="Heading2"/>
      </w:pPr>
      <w:r>
        <w:rPr>
          <w:rFonts w:ascii="Calibri" w:hAnsi="Calibri"/>
          <w:sz w:val="22"/>
        </w:rPr>
        <w:t>22. Kamuolys kitoje komandos pusėje („Ball over“)</w:t>
      </w:r>
    </w:p>
    <w:p>
      <w:r>
        <w:rPr>
          <w:rFonts w:ascii="Calibri" w:hAnsi="Calibri"/>
          <w:b/>
          <w:sz w:val="22"/>
        </w:rPr>
        <w:t>22.1.</w:t>
      </w:r>
      <w:r>
        <w:rPr>
          <w:rFonts w:ascii="Calibri" w:hAnsi="Calibri"/>
          <w:sz w:val="22"/>
        </w:rPr>
        <w:t xml:space="preserve"> Jei besiginantis žaidėjas atremia kamuolį ir šis atšoka per vidurio liniją arba neutralios zonos šoninę liniją, teisėjas sušvilpia ir paskelbia „Ball over“. Pagal 13.5 taisyklę kamuolys grąžinamas į žaidimą priešingoje komandos zonoje nei ta, iš kurios buvo atremtas už aikštės. Tada teisėjas paskelbia „Quiet please“, sušvilpia ir paskelbia „Play“.</w:t>
      </w:r>
    </w:p>
    <w:p>
      <w:r>
        <w:rPr>
          <w:rFonts w:ascii="Calibri" w:hAnsi="Calibri"/>
          <w:b/>
          <w:sz w:val="22"/>
        </w:rPr>
        <w:t>22.2.</w:t>
      </w:r>
      <w:r>
        <w:rPr>
          <w:rFonts w:ascii="Calibri" w:hAnsi="Calibri"/>
          <w:sz w:val="22"/>
        </w:rPr>
        <w:t xml:space="preserve"> Jei kamuolys atsitrenkia į vartų virpstą arba skersinį ir nurieda atgal per vidurio liniją arba neutralios zonos šoninę liniją, teisėjas vieną kartą sušvilpia ir paskelbia „Ball over“.</w:t>
      </w:r>
    </w:p>
    <w:p>
      <w:r>
        <w:rPr>
          <w:rFonts w:ascii="Calibri" w:hAnsi="Calibri"/>
          <w:b/>
          <w:sz w:val="22"/>
        </w:rPr>
        <w:t>22.3.</w:t>
      </w:r>
      <w:r>
        <w:rPr>
          <w:rFonts w:ascii="Calibri" w:hAnsi="Calibri"/>
          <w:sz w:val="22"/>
        </w:rPr>
        <w:t xml:space="preserve"> Kamuoliui palietus virš aikštės esantį objektą, teisėjas vieną kartą sušvilpia ir paskelbia „Ball over“.</w:t>
      </w:r>
    </w:p>
    <w:p>
      <w:r>
        <w:rPr>
          <w:rFonts w:ascii="Calibri" w:hAnsi="Calibri"/>
          <w:b/>
          <w:sz w:val="22"/>
        </w:rPr>
        <w:t>22.4.</w:t>
      </w:r>
      <w:r>
        <w:rPr>
          <w:rFonts w:ascii="Calibri" w:hAnsi="Calibri"/>
          <w:sz w:val="22"/>
        </w:rPr>
        <w:t xml:space="preserve"> Žaidėjui visiškai pernešus kamuolį per vidurio liniją, teisėjas vieną kartą sušvilpia ir paskelbia „Ball over“.</w:t>
      </w:r>
    </w:p>
    <w:p>
      <w:r>
        <w:rPr>
          <w:rFonts w:ascii="Calibri" w:hAnsi="Calibri"/>
          <w:b/>
          <w:sz w:val="22"/>
        </w:rPr>
        <w:t>22.5.</w:t>
      </w:r>
      <w:r>
        <w:rPr>
          <w:rFonts w:ascii="Calibri" w:hAnsi="Calibri"/>
          <w:sz w:val="22"/>
        </w:rPr>
        <w:t xml:space="preserve"> Ši taisyklė netaikoma papildomiems ir baudos metimams.</w:t>
      </w:r>
    </w:p>
    <w:p>
      <w:pPr>
        <w:pStyle w:val="Heading1"/>
      </w:pPr>
      <w:r>
        <w:rPr>
          <w:rFonts w:ascii="Calibri" w:hAnsi="Calibri"/>
          <w:sz w:val="22"/>
        </w:rPr>
        <w:t>E skyrius. Asmeniniai baudiniai</w:t>
      </w:r>
    </w:p>
    <w:p>
      <w:r>
        <w:rPr>
          <w:rFonts w:ascii="Calibri" w:hAnsi="Calibri"/>
          <w:sz w:val="22"/>
        </w:rPr>
        <w:t>Skirdamas asmeninį baudinį teisėjas sušvilpia ir paskelbia baudinį, žaidėjo numerį bei komandą. Nubaustas žaidėjas gina baudos metimą. Jei dėl traumos arba pašalinimo jis gintis negali, baudos metimą atliekanti komanda pasirenka gynėją iš kitų dviejų aikštėje esančių žaidėjų.</w:t>
      </w:r>
    </w:p>
    <w:p>
      <w:r>
        <w:rPr>
          <w:rFonts w:ascii="Calibri" w:hAnsi="Calibri"/>
          <w:sz w:val="22"/>
        </w:rPr>
        <w:t>Visiems baudos metimams taikomos žaidimo taisyklės. Metikui padarius pažeidimą, metimu įvartis negali būti pelnytas, o metančiai komandai skiriamas asmeninis arba komandinis baudinys. Gynėjui padarius pažeidimą, metimas kartojamas, nebent juo pelnytas įvartis. Jei metimo metu kamuolys atsiduria metiko komandos vartuose, įvartis neįskaitomas – komanda tik praranda kamuolį. Jei asmeninio baudinio situacijoje skiriamas dar vienas baudinys, pirmiausia užbaigiamas pirmasis. Baudos metimo atsisakanti komanda parodo nustatytą gestą (žr. 1 priedą) ir (arba) pasako „Penalty declined“ („Baudos metimo atsisakoma“); atnaujinus žaidimą ji valdo kamuolį. Visų baudinių situacijų metu rungtynių laikmatis sustabdytas.</w:t>
      </w:r>
    </w:p>
    <w:p>
      <w:pPr>
        <w:pStyle w:val="Heading2"/>
      </w:pPr>
      <w:r>
        <w:rPr>
          <w:rFonts w:ascii="Calibri" w:hAnsi="Calibri"/>
          <w:sz w:val="22"/>
        </w:rPr>
        <w:t>23. Trumpas kamuolys</w:t>
      </w:r>
    </w:p>
    <w:p>
      <w:r>
        <w:rPr>
          <w:rFonts w:ascii="Calibri" w:hAnsi="Calibri"/>
          <w:b/>
          <w:sz w:val="22"/>
        </w:rPr>
        <w:t>23.1.</w:t>
      </w:r>
      <w:r>
        <w:rPr>
          <w:rFonts w:ascii="Calibri" w:hAnsi="Calibri"/>
          <w:sz w:val="22"/>
        </w:rPr>
        <w:t xml:space="preserve"> Jei mestas kamuolys lieka aikštėje, bet nustoja judėti pirmyn nepasiekęs besiginančios komandos zonos, metikui skiriamas asmeninis baudinys už trumpą kamuolį.</w:t>
      </w:r>
    </w:p>
    <w:p>
      <w:pPr>
        <w:pStyle w:val="Heading2"/>
      </w:pPr>
      <w:r>
        <w:rPr>
          <w:rFonts w:ascii="Calibri" w:hAnsi="Calibri"/>
          <w:sz w:val="22"/>
        </w:rPr>
        <w:t>24. Aukštas kamuolys</w:t>
      </w:r>
    </w:p>
    <w:p>
      <w:r>
        <w:rPr>
          <w:rFonts w:ascii="Calibri" w:hAnsi="Calibri"/>
          <w:b/>
          <w:sz w:val="22"/>
        </w:rPr>
        <w:t>24.1.</w:t>
      </w:r>
      <w:r>
        <w:rPr>
          <w:rFonts w:ascii="Calibri" w:hAnsi="Calibri"/>
          <w:sz w:val="22"/>
        </w:rPr>
        <w:t xml:space="preserve"> Jei iš metiko rankos paleistas kamuolys nė karto nepaliečia aikštės iki aukšto kamuolio linijos (6,0 m), esančios ties metančios komandos zonos priekine riba, arba ant jos, metikui skiriamas asmeninis baudinys už aukštą kamuolį.</w:t>
      </w:r>
    </w:p>
    <w:p>
      <w:pPr>
        <w:pStyle w:val="Heading2"/>
      </w:pPr>
      <w:r>
        <w:rPr>
          <w:rFonts w:ascii="Calibri" w:hAnsi="Calibri"/>
          <w:sz w:val="22"/>
        </w:rPr>
        <w:t>25. Ilgas kamuolys</w:t>
      </w:r>
    </w:p>
    <w:p>
      <w:r>
        <w:rPr>
          <w:rFonts w:ascii="Calibri" w:hAnsi="Calibri"/>
          <w:b/>
          <w:sz w:val="22"/>
        </w:rPr>
        <w:t>25.1.</w:t>
      </w:r>
      <w:r>
        <w:rPr>
          <w:rFonts w:ascii="Calibri" w:hAnsi="Calibri"/>
          <w:sz w:val="22"/>
        </w:rPr>
        <w:t xml:space="preserve"> Nepaisant 24 taisyklės, metimo metu kamuolys taip pat privalo bent kartą paliesti grindis neutralioje zonoje. Priešingu atveju metikui skiriamas asmeninis baudinys už ilgą kamuolį.</w:t>
      </w:r>
    </w:p>
    <w:p>
      <w:pPr>
        <w:pStyle w:val="Heading2"/>
      </w:pPr>
      <w:r>
        <w:rPr>
          <w:rFonts w:ascii="Calibri" w:hAnsi="Calibri"/>
          <w:sz w:val="22"/>
        </w:rPr>
        <w:t>26. Golbolo akiniai</w:t>
      </w:r>
    </w:p>
    <w:p>
      <w:r>
        <w:rPr>
          <w:rFonts w:ascii="Calibri" w:hAnsi="Calibri"/>
          <w:b/>
          <w:sz w:val="22"/>
        </w:rPr>
        <w:t>26.1.</w:t>
      </w:r>
      <w:r>
        <w:rPr>
          <w:rFonts w:ascii="Calibri" w:hAnsi="Calibri"/>
          <w:sz w:val="22"/>
        </w:rPr>
        <w:t xml:space="preserve"> Aikštėje esantis žaidėjas, rungtynių metu tyčia be teisėjo leidimo palietęs savo arba kito žaidėjo golbolo akinius, baudžiamas asmeniniu baudiniu už golbolo akinius.</w:t>
      </w:r>
    </w:p>
    <w:p>
      <w:r>
        <w:rPr>
          <w:rFonts w:ascii="Calibri" w:hAnsi="Calibri"/>
          <w:b/>
          <w:sz w:val="22"/>
        </w:rPr>
        <w:t>26.2.</w:t>
      </w:r>
      <w:r>
        <w:rPr>
          <w:rFonts w:ascii="Calibri" w:hAnsi="Calibri"/>
          <w:sz w:val="22"/>
        </w:rPr>
        <w:t xml:space="preserve"> Baudos situacijos metu iš aikštės pašalintas žaidėjas negali liesti golbolo akinių; už pažeidimą skiriamas asmeninis baudinys už golbolo akinius.</w:t>
      </w:r>
    </w:p>
    <w:p>
      <w:r>
        <w:rPr>
          <w:rFonts w:ascii="Calibri" w:hAnsi="Calibri"/>
          <w:b/>
          <w:sz w:val="22"/>
        </w:rPr>
        <w:t>26.3.</w:t>
      </w:r>
      <w:r>
        <w:rPr>
          <w:rFonts w:ascii="Calibri" w:hAnsi="Calibri"/>
          <w:sz w:val="22"/>
        </w:rPr>
        <w:t xml:space="preserve"> Jei keičiamas žaidėjas paliečia ar nusiima golbolo akinius ir (arba) akių tvarsčius iki teisėjas paskelbia komandos pavadinimą ir išeinančio žaidėjo numerį, jam skiriamas asmeninis baudinys už golbolo akinius.</w:t>
      </w:r>
    </w:p>
    <w:p>
      <w:r>
        <w:rPr>
          <w:rFonts w:ascii="Calibri" w:hAnsi="Calibri"/>
          <w:b/>
          <w:sz w:val="22"/>
        </w:rPr>
        <w:t>26.4.</w:t>
      </w:r>
      <w:r>
        <w:rPr>
          <w:rFonts w:ascii="Calibri" w:hAnsi="Calibri"/>
          <w:sz w:val="22"/>
        </w:rPr>
        <w:t xml:space="preserve"> Baudinį gali skirti bet kuris aikštės teisėjas; apie pažeidimą taip pat gali pranešti tos komandos pusėje prie sekretoriato stalo esantis dešimties sekundžių laiko matuotojas, panaudodamas dešimties sekundžių baudinio garsą. Prie sekretoriato stalo esantis teisėjas su juo patikslina aplinkybes, tada patikrina atitinkamą uždangalą ir (arba) tvarsčius bei priima reikiamą sprendimą.</w:t>
      </w:r>
    </w:p>
    <w:p>
      <w:pPr>
        <w:pStyle w:val="Heading2"/>
      </w:pPr>
      <w:r>
        <w:rPr>
          <w:rFonts w:ascii="Calibri" w:hAnsi="Calibri"/>
          <w:sz w:val="22"/>
        </w:rPr>
        <w:t>27. Neteisėta gynyba</w:t>
      </w:r>
    </w:p>
    <w:p>
      <w:r>
        <w:rPr>
          <w:rFonts w:ascii="Calibri" w:hAnsi="Calibri"/>
          <w:b/>
          <w:sz w:val="22"/>
        </w:rPr>
        <w:t>27.1.</w:t>
      </w:r>
      <w:r>
        <w:rPr>
          <w:rFonts w:ascii="Calibri" w:hAnsi="Calibri"/>
          <w:sz w:val="22"/>
        </w:rPr>
        <w:t xml:space="preserve"> Pirmą kartą gindamasis kamuolį gali paliesti tik žaidėjas, kurio bent viena kūno dalis yra komandos zonoje – orientavimosi arba puolimo zonoje.</w:t>
      </w:r>
    </w:p>
    <w:p>
      <w:r>
        <w:rPr>
          <w:rFonts w:ascii="Calibri" w:hAnsi="Calibri"/>
          <w:b/>
          <w:sz w:val="22"/>
        </w:rPr>
        <w:t>27.2.</w:t>
      </w:r>
      <w:r>
        <w:rPr>
          <w:rFonts w:ascii="Calibri" w:hAnsi="Calibri"/>
          <w:sz w:val="22"/>
        </w:rPr>
        <w:t xml:space="preserve"> Padarius neteisėtos gynybos pažeidimą, žaidimas tęsiamas, kol kamuolys suvaldomas, atremiamas už aikštės arba pelnomas įvartis. Jei pelnomas įvartis, baudinys neskiriamas.</w:t>
      </w:r>
    </w:p>
    <w:p>
      <w:pPr>
        <w:pStyle w:val="Heading2"/>
      </w:pPr>
      <w:r>
        <w:rPr>
          <w:rFonts w:ascii="Calibri" w:hAnsi="Calibri"/>
          <w:sz w:val="22"/>
        </w:rPr>
        <w:t>28. Asmeninis laiko delsimas</w:t>
      </w:r>
    </w:p>
    <w:p>
      <w:r>
        <w:rPr>
          <w:rFonts w:ascii="Calibri" w:hAnsi="Calibri"/>
          <w:b/>
          <w:sz w:val="22"/>
        </w:rPr>
        <w:t>28.1.</w:t>
      </w:r>
      <w:r>
        <w:rPr>
          <w:rFonts w:ascii="Calibri" w:hAnsi="Calibri"/>
          <w:sz w:val="22"/>
        </w:rPr>
        <w:t xml:space="preserve"> Kiekvieno kėlinio pradžioje žaidėjai privalo būti pasirengę žaisti teisėjui davus komandą.</w:t>
      </w:r>
    </w:p>
    <w:p>
      <w:r>
        <w:rPr>
          <w:rFonts w:ascii="Calibri" w:hAnsi="Calibri"/>
          <w:b/>
          <w:sz w:val="22"/>
        </w:rPr>
        <w:t>28.2.</w:t>
      </w:r>
      <w:r>
        <w:rPr>
          <w:rFonts w:ascii="Calibri" w:hAnsi="Calibri"/>
          <w:sz w:val="22"/>
        </w:rPr>
        <w:t xml:space="preserve"> Žaidėjui susiorientuoti gali padėti tik aikštėje esantis komandos draugas, išskyrus teisėjo arba vartų teisėjo pagalbą po baudos situacijos pagal 13.10 taisyklę. Teisėjas arba vartų teisėjas padeda susiorientuoti tik žaidėjui paprašius.</w:t>
      </w:r>
    </w:p>
    <w:p>
      <w:pPr>
        <w:pStyle w:val="Heading2"/>
      </w:pPr>
      <w:r>
        <w:rPr>
          <w:rFonts w:ascii="Calibri" w:hAnsi="Calibri"/>
          <w:sz w:val="22"/>
        </w:rPr>
        <w:t>29. Asmeninis nesportiškas elgesys</w:t>
      </w:r>
    </w:p>
    <w:p>
      <w:r>
        <w:rPr>
          <w:rFonts w:ascii="Calibri" w:hAnsi="Calibri"/>
          <w:b/>
          <w:sz w:val="22"/>
        </w:rPr>
        <w:t>29.1.</w:t>
      </w:r>
      <w:r>
        <w:rPr>
          <w:rFonts w:ascii="Calibri" w:hAnsi="Calibri"/>
          <w:sz w:val="22"/>
        </w:rPr>
        <w:t xml:space="preserve"> Teisėjui nustačius, kad žaidėjas elgiasi nesportiškai vienu iš 29 taisyklėje išvardytų būdų, skiriamas asmeninis baudinys už nesportišką elgesį. Net ir vienas toks baudinys gali lemti pašalinimą iš rungtynių, o du – visada lemia pašalinimą. Dėl vieno ar kelių tokių baudinių pašalintas žaidėjas automatiškai praleidžia kitas to paties turnyro rungtynes. Tolesni pažeidimai gali lemti pašalinimą iš varžybų vietos arba turnyro.</w:t>
      </w:r>
    </w:p>
    <w:p>
      <w:r>
        <w:rPr>
          <w:rFonts w:ascii="Calibri" w:hAnsi="Calibri"/>
          <w:b/>
          <w:sz w:val="22"/>
        </w:rPr>
        <w:t>29.2.</w:t>
      </w:r>
      <w:r>
        <w:rPr>
          <w:rFonts w:ascii="Calibri" w:hAnsi="Calibri"/>
          <w:sz w:val="22"/>
        </w:rPr>
        <w:t xml:space="preserve"> Apie pašalinimą teisėjas privalo pranešti techniniam delegatui. Šis su protestų komisija nedelsdami sprendžia dėl tolesnio žaidėjo dalyvavimo turnyre ir iki turnyro pabaigos raštu pateikia incidentą bei sprendimą IBSA Golbolo sporto komitetui. Kol komisija negali susirinkti ir nuspręsti, žaidėjas kitose turnyro rungtynėse nedalyvauja. Iki turnyro pabaigos neišspręstas klausimas perduodamas IBSA komitetui toliau nagrinėti.</w:t>
      </w:r>
    </w:p>
    <w:p>
      <w:r>
        <w:rPr>
          <w:rFonts w:ascii="Calibri" w:hAnsi="Calibri"/>
          <w:b/>
          <w:sz w:val="22"/>
        </w:rPr>
        <w:t>29.3.</w:t>
      </w:r>
      <w:r>
        <w:rPr>
          <w:rFonts w:ascii="Calibri" w:hAnsi="Calibri"/>
          <w:sz w:val="22"/>
        </w:rPr>
        <w:t xml:space="preserve"> Už asmeninį nesportišką elgesį pašalintą žaidėją galima pakeisti; keitimas įskaitomas į leidžiamų keitimų skaičių.</w:t>
      </w:r>
    </w:p>
    <w:p>
      <w:r>
        <w:rPr>
          <w:rFonts w:ascii="Calibri" w:hAnsi="Calibri"/>
          <w:b/>
          <w:sz w:val="22"/>
        </w:rPr>
        <w:t>29.4.</w:t>
      </w:r>
      <w:r>
        <w:rPr>
          <w:rFonts w:ascii="Calibri" w:hAnsi="Calibri"/>
          <w:sz w:val="22"/>
        </w:rPr>
        <w:t xml:space="preserve"> Žaidėjo ar kito komandos sudėties lape nurodyto asmens tyčinis fizinis kontaktas su techniniu oficialiu asmeniu prieš rungtynes arba jų metu lemia nedelsiamą pašalinimą iš rungtynių ir žaidimo vietos. Baudos metimą atliekanti komanda pasirenka gynėją iš likusių aikštės žaidėjų; jei baudinys skirtas iki rungtynių pradžios – iš bet kurio protokole nurodyto žaidėjo.</w:t>
      </w:r>
    </w:p>
    <w:p>
      <w:r>
        <w:rPr>
          <w:rFonts w:ascii="Calibri" w:hAnsi="Calibri"/>
          <w:b/>
          <w:sz w:val="22"/>
        </w:rPr>
        <w:t>29.5.</w:t>
      </w:r>
      <w:r>
        <w:rPr>
          <w:rFonts w:ascii="Calibri" w:hAnsi="Calibri"/>
          <w:sz w:val="22"/>
        </w:rPr>
        <w:t xml:space="preserve"> Jei žaidėjas tyčia deformuoja kamuolį ir šis dar būna deformuotas paleidimo iš rankos ar rankų momentu, skiriamas asmeninis baudinys už nesportišką elgesį. Tai apima kamuolio spaudimą dviem rankomis prieš metimą arba rankomis ar keliu prie grindų. Taisyklė netaikoma įprastai deformacijai, kai, pavyzdžiui, viena ranka kamuolys prispaudžiamas tarp dilbio ir pirštų, kad metimo pradžioje būtų tvirtai laikomas.</w:t>
      </w:r>
    </w:p>
    <w:p>
      <w:r>
        <w:rPr>
          <w:rFonts w:ascii="Calibri" w:hAnsi="Calibri"/>
          <w:b/>
          <w:sz w:val="22"/>
        </w:rPr>
        <w:t>29.6.</w:t>
      </w:r>
      <w:r>
        <w:rPr>
          <w:rFonts w:ascii="Calibri" w:hAnsi="Calibri"/>
          <w:sz w:val="22"/>
        </w:rPr>
        <w:t xml:space="preserve"> Už teisėjo ar kito oficialaus asmens įžeidimą, taip pat varžovų įžeidinėjimą arba išjuokimą, pavyzdžiui, provokuojamai juokiantis ar garsiai šaukiant „cha cha“, skiriamas asmeninis baudinys už nesportišką elgesį.</w:t>
      </w:r>
    </w:p>
    <w:p>
      <w:r>
        <w:rPr>
          <w:rFonts w:ascii="Calibri" w:hAnsi="Calibri"/>
          <w:b/>
          <w:sz w:val="22"/>
        </w:rPr>
        <w:t>29.7.</w:t>
      </w:r>
      <w:r>
        <w:rPr>
          <w:rFonts w:ascii="Calibri" w:hAnsi="Calibri"/>
          <w:sz w:val="22"/>
        </w:rPr>
        <w:t xml:space="preserve"> Griežtai draudžiamos pašalinės medžiagos, didinančios arba mažinančios kamuolio sukibimą su žaidėju ar grindimis, įskaitant dervą, lipnias medžiagas („stick’em“), prakaitą, odos losjoną, tepalą ir vazeliną. Už tai skiriamas asmeninis baudinys už nesportišką elgesį.</w:t>
      </w:r>
    </w:p>
    <w:p>
      <w:r>
        <w:rPr>
          <w:rFonts w:ascii="Calibri" w:hAnsi="Calibri"/>
          <w:b/>
          <w:sz w:val="22"/>
        </w:rPr>
        <w:t>29.8.</w:t>
      </w:r>
      <w:r>
        <w:rPr>
          <w:rFonts w:ascii="Calibri" w:hAnsi="Calibri"/>
          <w:sz w:val="22"/>
        </w:rPr>
        <w:t xml:space="preserve"> Tyčia sudrėkinęs kamuolį trindamas jį į bet kokį paviršių žaidėjas baudžiamas asmeniniu baudiniu už nesportišką elgesį.</w:t>
      </w:r>
    </w:p>
    <w:p>
      <w:r>
        <w:rPr>
          <w:rFonts w:ascii="Calibri" w:hAnsi="Calibri"/>
          <w:b/>
          <w:sz w:val="22"/>
        </w:rPr>
        <w:t>29.9.</w:t>
      </w:r>
      <w:r>
        <w:rPr>
          <w:rFonts w:ascii="Calibri" w:hAnsi="Calibri"/>
          <w:sz w:val="22"/>
        </w:rPr>
        <w:t xml:space="preserve"> Už tyčinį stovint atliktą kamuolio spyrį po pirmojo kontakto skiriamas asmeninis baudinys už nesportišką elgesį.</w:t>
      </w:r>
    </w:p>
    <w:p>
      <w:r>
        <w:rPr>
          <w:rFonts w:ascii="Calibri" w:hAnsi="Calibri"/>
          <w:b/>
          <w:sz w:val="22"/>
        </w:rPr>
        <w:t>29.10.</w:t>
      </w:r>
      <w:r>
        <w:rPr>
          <w:rFonts w:ascii="Calibri" w:hAnsi="Calibri"/>
          <w:sz w:val="22"/>
        </w:rPr>
        <w:t xml:space="preserve"> Nesportišku elgesiu laikomas kamuolio išmetimas iš žaidimo sekretoriato stalo arba žiūrovų kryptimi, kai nuo paleidimo iki kontakto su grindimis kamuolys bent vienu momentu pakyla aukščiau klubų ir gali sužeisti, taip pat jo metimas virš savų vartų skersinio. Metikui skiriamas asmeninis baudinys už nesportišką elgesį.</w:t>
      </w:r>
    </w:p>
    <w:p>
      <w:r>
        <w:rPr>
          <w:rFonts w:ascii="Calibri" w:hAnsi="Calibri"/>
          <w:b/>
          <w:sz w:val="22"/>
        </w:rPr>
        <w:t>29.11.</w:t>
      </w:r>
      <w:r>
        <w:rPr>
          <w:rFonts w:ascii="Calibri" w:hAnsi="Calibri"/>
          <w:sz w:val="22"/>
        </w:rPr>
        <w:t xml:space="preserve"> Žaidėjas negali tyčia jokiu būdu liesti ar keisti po golbolo akiniais esančių akių tvarsčių. Už pažeidimą skiriamas asmeninis baudinys už nesportišką elgesį ir žaidėjas pašalinamas iki rungtynių pabaigos. Jį galima pakeisti, o keitimas įskaitomas į leidžiamų keitimų skaičių.</w:t>
      </w:r>
    </w:p>
    <w:p>
      <w:pPr>
        <w:pStyle w:val="Heading2"/>
      </w:pPr>
      <w:r>
        <w:rPr>
          <w:rFonts w:ascii="Calibri" w:hAnsi="Calibri"/>
          <w:sz w:val="22"/>
        </w:rPr>
        <w:t>30. Triukšmas</w:t>
      </w:r>
    </w:p>
    <w:p>
      <w:r>
        <w:rPr>
          <w:rFonts w:ascii="Calibri" w:hAnsi="Calibri"/>
          <w:b/>
          <w:sz w:val="22"/>
        </w:rPr>
        <w:t>30.1.</w:t>
      </w:r>
      <w:r>
        <w:rPr>
          <w:rFonts w:ascii="Calibri" w:hAnsi="Calibri"/>
          <w:sz w:val="22"/>
        </w:rPr>
        <w:t xml:space="preserve"> Baudžiama už bet kokį nereikalingą metiko keliamą triukšmą nuo metimo pradžios iki kamuolys paliečia besiginančios komandos žaidėją, kerta šoninę liniją arba paliečia jos vartų virpstą.</w:t>
      </w:r>
    </w:p>
    <w:p>
      <w:r>
        <w:rPr>
          <w:rFonts w:ascii="Calibri" w:hAnsi="Calibri"/>
          <w:b/>
          <w:sz w:val="22"/>
        </w:rPr>
        <w:t>30.2.</w:t>
      </w:r>
      <w:r>
        <w:rPr>
          <w:rFonts w:ascii="Calibri" w:hAnsi="Calibri"/>
          <w:sz w:val="22"/>
        </w:rPr>
        <w:t xml:space="preserve"> Nereikalingu triukšmu laikomi, be kita ko, gyvūnų garsų mėgdžiojimas, perdėtas trypimas, daužymas kumščiais ar pliaukšėjimas delnais į aikštę, perdėtas plojimas, švilpimas, dainavimas, batų cypinimas, liežuvio spragsėjimas, nuolatinis perdėtas ar su žaidimu nesusijęs kalbėjimas ir nereikalingas šaukimas.</w:t>
      </w:r>
    </w:p>
    <w:p>
      <w:pPr>
        <w:pStyle w:val="Heading1"/>
      </w:pPr>
      <w:r>
        <w:rPr>
          <w:rFonts w:ascii="Calibri" w:hAnsi="Calibri"/>
          <w:sz w:val="22"/>
        </w:rPr>
        <w:t>F skyrius. Komandiniai baudiniai</w:t>
      </w:r>
    </w:p>
    <w:p>
      <w:r>
        <w:rPr>
          <w:rFonts w:ascii="Calibri" w:hAnsi="Calibri"/>
          <w:sz w:val="22"/>
        </w:rPr>
        <w:t>Skirdamas komandinį baudinį teisėjas sušvilpia ir paskelbia „Team penalty“ („Komandinis baudinys“), pažeidimą bei komandą. Baudos metimą atliekanti komanda pasirenka jį ginsiantį žaidėją iš aikštėje esančių varžovų. Jei baudinys skirtas iki rungtynių pradžios, gynėjas pasirenkamas iš bet kurio rungtynių protokolo informaciniame lape nurodyto žaidėjo.</w:t>
      </w:r>
    </w:p>
    <w:p>
      <w:r>
        <w:rPr>
          <w:rFonts w:ascii="Calibri" w:hAnsi="Calibri"/>
          <w:sz w:val="22"/>
        </w:rPr>
        <w:t>Visiems baudos metimams taikomos žaidimo taisyklės. Metikui padarius pažeidimą, įvartis negali būti pelnytas, o metančiai komandai skiriamas asmeninis arba komandinis baudinys. Gynėjui pažeidus taisykles, metimas kartojamas, nebent pelnytas įvartis. Į savus vartus metiko pasiųstas kamuolys neįskaitomas kaip įvartis – tik prarandamas kamuolys. Baudos metimo atsisakanti komanda parodo gestą ir (arba) pasako „Penalty declined“; atnaujinus žaidimą ji valdo kamuolį. Visų baudinių situacijų metu rungtynių laikmatis sustabdytas.</w:t>
      </w:r>
    </w:p>
    <w:p>
      <w:pPr>
        <w:pStyle w:val="Heading2"/>
      </w:pPr>
      <w:r>
        <w:rPr>
          <w:rFonts w:ascii="Calibri" w:hAnsi="Calibri"/>
          <w:sz w:val="22"/>
        </w:rPr>
        <w:t>31. Dešimt sekundžių</w:t>
      </w:r>
    </w:p>
    <w:p>
      <w:r>
        <w:rPr>
          <w:rFonts w:ascii="Calibri" w:hAnsi="Calibri"/>
          <w:b/>
          <w:sz w:val="22"/>
        </w:rPr>
        <w:t>31.1.</w:t>
      </w:r>
      <w:r>
        <w:rPr>
          <w:rFonts w:ascii="Calibri" w:hAnsi="Calibri"/>
          <w:sz w:val="22"/>
        </w:rPr>
        <w:t xml:space="preserve"> Nuo pirmojo gynybinio kontakto su kamuoliu komanda turi 10 sekundžių užtikrinti, kad kamuolys kirstų aikštės vidurio arba šoninę liniją.</w:t>
      </w:r>
    </w:p>
    <w:p>
      <w:r>
        <w:rPr>
          <w:rFonts w:ascii="Calibri" w:hAnsi="Calibri"/>
          <w:b/>
          <w:sz w:val="22"/>
        </w:rPr>
        <w:t>31.2.</w:t>
      </w:r>
      <w:r>
        <w:rPr>
          <w:rFonts w:ascii="Calibri" w:hAnsi="Calibri"/>
          <w:sz w:val="22"/>
        </w:rPr>
        <w:t xml:space="preserve"> Jei po gynybinio kontakto, komandai kontroliuojant kamuolį – žaidėjui fiziškai jį valdant arba aiškiai perduodant tarp žaidėjų – paskelbiama pertraukėlė, keitimas arba „Blocked out“, teisėjui sušvilpus dešimties sekundžių laikmatis pristabdomas. Paskelbus „Play“ jis tęsiamas, o komanda turi likusį laiką kamuoliui perkelti per vidurio arba šoninę liniją.</w:t>
      </w:r>
    </w:p>
    <w:p>
      <w:r>
        <w:rPr>
          <w:rFonts w:ascii="Calibri" w:hAnsi="Calibri"/>
          <w:b/>
          <w:sz w:val="22"/>
        </w:rPr>
        <w:t>31.3.</w:t>
      </w:r>
      <w:r>
        <w:rPr>
          <w:rFonts w:ascii="Calibri" w:hAnsi="Calibri"/>
          <w:sz w:val="22"/>
        </w:rPr>
        <w:t xml:space="preserve"> Jei po gynybinio kontakto sušvilpiama ir paskelbiama „Blocked out“, dešimties sekundžių laikmatis sustabdomas. Grąžinus kamuolį teisėjas paskelbia „Quiet please“, sušvilpia ir paskelbia „Play“; nuo šios komandos laikmatis vėl paleidžiamas.</w:t>
      </w:r>
    </w:p>
    <w:p>
      <w:r>
        <w:rPr>
          <w:rFonts w:ascii="Calibri" w:hAnsi="Calibri"/>
          <w:b/>
          <w:sz w:val="22"/>
        </w:rPr>
        <w:t>31.4.</w:t>
      </w:r>
      <w:r>
        <w:rPr>
          <w:rFonts w:ascii="Calibri" w:hAnsi="Calibri"/>
          <w:sz w:val="22"/>
        </w:rPr>
        <w:t xml:space="preserve"> Paskelbus teisėjo arba medicininę pertraukėlę dešimties sekundžių laikmatis nustatomas iš naujo.</w:t>
      </w:r>
    </w:p>
    <w:p>
      <w:r>
        <w:rPr>
          <w:rFonts w:ascii="Calibri" w:hAnsi="Calibri"/>
          <w:b/>
          <w:sz w:val="22"/>
        </w:rPr>
        <w:t>31.5.</w:t>
      </w:r>
      <w:r>
        <w:rPr>
          <w:rFonts w:ascii="Calibri" w:hAnsi="Calibri"/>
          <w:sz w:val="22"/>
        </w:rPr>
        <w:t xml:space="preserve"> Jis nustatomas iš naujo po įvarčio.</w:t>
      </w:r>
    </w:p>
    <w:p>
      <w:r>
        <w:rPr>
          <w:rFonts w:ascii="Calibri" w:hAnsi="Calibri"/>
          <w:b/>
          <w:sz w:val="22"/>
        </w:rPr>
        <w:t>31.6.</w:t>
      </w:r>
      <w:r>
        <w:rPr>
          <w:rFonts w:ascii="Calibri" w:hAnsi="Calibri"/>
          <w:sz w:val="22"/>
        </w:rPr>
        <w:t xml:space="preserve"> Jis nustatomas iš naujo pasibaigus bet kuriam kėliniui.</w:t>
      </w:r>
    </w:p>
    <w:p>
      <w:r>
        <w:rPr>
          <w:rFonts w:ascii="Calibri" w:hAnsi="Calibri"/>
          <w:b/>
          <w:sz w:val="22"/>
        </w:rPr>
        <w:t>31.7.</w:t>
      </w:r>
      <w:r>
        <w:rPr>
          <w:rFonts w:ascii="Calibri" w:hAnsi="Calibri"/>
          <w:sz w:val="22"/>
        </w:rPr>
        <w:t xml:space="preserve"> Jis nustatomas iš naujo baudinių situacijose.</w:t>
      </w:r>
    </w:p>
    <w:p>
      <w:r>
        <w:rPr>
          <w:rFonts w:ascii="Calibri" w:hAnsi="Calibri"/>
          <w:b/>
          <w:sz w:val="22"/>
        </w:rPr>
        <w:t>31.8.</w:t>
      </w:r>
      <w:r>
        <w:rPr>
          <w:rFonts w:ascii="Calibri" w:hAnsi="Calibri"/>
          <w:sz w:val="22"/>
        </w:rPr>
        <w:t xml:space="preserve"> Laikmatis paleidžiamas nuo pirmojo gynybinio kontakto, nesvarbu, ar komanda kontroliuoja kamuolį.</w:t>
      </w:r>
    </w:p>
    <w:p>
      <w:r>
        <w:rPr>
          <w:rFonts w:ascii="Calibri" w:hAnsi="Calibri"/>
          <w:b/>
          <w:sz w:val="22"/>
        </w:rPr>
        <w:t>31.9.</w:t>
      </w:r>
      <w:r>
        <w:rPr>
          <w:rFonts w:ascii="Calibri" w:hAnsi="Calibri"/>
          <w:sz w:val="22"/>
        </w:rPr>
        <w:t xml:space="preserve"> Prie sekretoriato stalo esantis dešimties sekundžių laiko matuotojas signalizuoja teisėjui, jei sueina 10 sekundžių, o komanda nuo pirmojo kontakto vis dar valdo kamuolį arba kamuolys dar nekirto vidurio ar šoninės linijos jos aikštės pusėje.</w:t>
      </w:r>
    </w:p>
    <w:p>
      <w:pPr>
        <w:pStyle w:val="Heading2"/>
      </w:pPr>
      <w:r>
        <w:rPr>
          <w:rFonts w:ascii="Calibri" w:hAnsi="Calibri"/>
          <w:sz w:val="22"/>
        </w:rPr>
        <w:t>32. Komandinis laiko delsimas</w:t>
      </w:r>
    </w:p>
    <w:p>
      <w:r>
        <w:rPr>
          <w:rFonts w:ascii="Calibri" w:hAnsi="Calibri"/>
          <w:b/>
          <w:sz w:val="22"/>
        </w:rPr>
        <w:t>32.1.</w:t>
      </w:r>
      <w:r>
        <w:rPr>
          <w:rFonts w:ascii="Calibri" w:hAnsi="Calibri"/>
          <w:sz w:val="22"/>
        </w:rPr>
        <w:t xml:space="preserve"> Kėlinį pradėsiantys žaidėjai, likus 90 sekundžių, privalo būti aikštėje, pasirengę golbolo akinių patikrai ir teisėjui nurodžius pradėti žaidimą.</w:t>
      </w:r>
    </w:p>
    <w:p>
      <w:r>
        <w:rPr>
          <w:rFonts w:ascii="Calibri" w:hAnsi="Calibri"/>
          <w:b/>
          <w:sz w:val="22"/>
        </w:rPr>
        <w:t>32.2.</w:t>
      </w:r>
      <w:r>
        <w:rPr>
          <w:rFonts w:ascii="Calibri" w:hAnsi="Calibri"/>
          <w:sz w:val="22"/>
        </w:rPr>
        <w:t xml:space="preserve"> Pažeidimu laikomas bet koks komandos veiksmas, trukdantis tęsti rungtynes.</w:t>
      </w:r>
    </w:p>
    <w:p>
      <w:r>
        <w:rPr>
          <w:rFonts w:ascii="Calibri" w:hAnsi="Calibri"/>
          <w:b/>
          <w:sz w:val="22"/>
        </w:rPr>
        <w:t>32.3.</w:t>
      </w:r>
      <w:r>
        <w:rPr>
          <w:rFonts w:ascii="Calibri" w:hAnsi="Calibri"/>
          <w:sz w:val="22"/>
        </w:rPr>
        <w:t xml:space="preserve"> Apie keitimus, atliktus per pertrauką tarp kėlinių arba tarp pagrindinio laiko ir pratęsimo, protokolo pildytojui turi būti pranešta iki tos pertraukos pabaigos.</w:t>
      </w:r>
    </w:p>
    <w:p>
      <w:r>
        <w:rPr>
          <w:rFonts w:ascii="Calibri" w:hAnsi="Calibri"/>
          <w:b/>
          <w:sz w:val="22"/>
        </w:rPr>
        <w:t>32.4.</w:t>
      </w:r>
      <w:r>
        <w:rPr>
          <w:rFonts w:ascii="Calibri" w:hAnsi="Calibri"/>
          <w:sz w:val="22"/>
        </w:rPr>
        <w:t xml:space="preserve"> Komanda negali prašyti daugiau kaip keturių pertraukėlių per pagrindinį laiką, daugiau kaip trijų antrajame kėlinyje arba daugiau kaip vienos per pratęsimą.</w:t>
      </w:r>
    </w:p>
    <w:p>
      <w:r>
        <w:rPr>
          <w:rFonts w:ascii="Calibri" w:hAnsi="Calibri"/>
          <w:b/>
          <w:sz w:val="22"/>
        </w:rPr>
        <w:t>32.5.</w:t>
      </w:r>
      <w:r>
        <w:rPr>
          <w:rFonts w:ascii="Calibri" w:hAnsi="Calibri"/>
          <w:sz w:val="22"/>
        </w:rPr>
        <w:t xml:space="preserve"> Komanda negali prašyti daugiau kaip keturių keitimų per pagrindinį laiką, daugiau kaip trijų antrajame kėlinyje arba daugiau kaip vieno per pratęsimą.</w:t>
      </w:r>
    </w:p>
    <w:p>
      <w:pPr>
        <w:pStyle w:val="Heading2"/>
      </w:pPr>
      <w:r>
        <w:rPr>
          <w:rFonts w:ascii="Calibri" w:hAnsi="Calibri"/>
          <w:sz w:val="22"/>
        </w:rPr>
        <w:t>33. Komandinis nesportiškas elgesys</w:t>
      </w:r>
    </w:p>
    <w:p>
      <w:r>
        <w:rPr>
          <w:rFonts w:ascii="Calibri" w:hAnsi="Calibri"/>
          <w:b/>
          <w:sz w:val="22"/>
        </w:rPr>
        <w:t>33.1.</w:t>
      </w:r>
      <w:r>
        <w:rPr>
          <w:rFonts w:ascii="Calibri" w:hAnsi="Calibri"/>
          <w:sz w:val="22"/>
        </w:rPr>
        <w:t xml:space="preserve"> Šiuo pažeidimu laikomas bet koks 11.2 taisyklėje nustatytos apšilimo tvarkos pažeidimas.</w:t>
      </w:r>
    </w:p>
    <w:p>
      <w:r>
        <w:rPr>
          <w:rFonts w:ascii="Calibri" w:hAnsi="Calibri"/>
          <w:b/>
          <w:sz w:val="22"/>
        </w:rPr>
        <w:t>33.2.</w:t>
      </w:r>
      <w:r>
        <w:rPr>
          <w:rFonts w:ascii="Calibri" w:hAnsi="Calibri"/>
          <w:sz w:val="22"/>
        </w:rPr>
        <w:t xml:space="preserve"> Visi rungtynėse esantys komandos ir jos delegacijos nariai privalo elgtis sportiškai.</w:t>
      </w:r>
    </w:p>
    <w:p>
      <w:r>
        <w:rPr>
          <w:rFonts w:ascii="Calibri" w:hAnsi="Calibri"/>
          <w:b/>
          <w:sz w:val="22"/>
        </w:rPr>
        <w:t>33.3.</w:t>
      </w:r>
      <w:r>
        <w:rPr>
          <w:rFonts w:ascii="Calibri" w:hAnsi="Calibri"/>
          <w:sz w:val="22"/>
        </w:rPr>
        <w:t xml:space="preserve"> Tolesnis nesportiškas elgesys teisėjo sprendimu gali lemti pašalinimą iš rungtynių, varžybų vietos ir (arba) tolesnio dalyvavimo turnyre. Teisėjas praneša techniniam delegatui. Jei šis kartu su protestų komisija mano, kad būtina, komanda gali būti pašalinta iš likusių turnyro rungtynių. Techninis delegatas pateikia IBSA Golbolo sporto komitetui rašytinį įvykio pranešimą.</w:t>
      </w:r>
    </w:p>
    <w:p>
      <w:pPr>
        <w:pStyle w:val="Heading2"/>
      </w:pPr>
      <w:r>
        <w:rPr>
          <w:rFonts w:ascii="Calibri" w:hAnsi="Calibri"/>
          <w:sz w:val="22"/>
        </w:rPr>
        <w:t>34. Neteisėtas instruktavimas</w:t>
      </w:r>
    </w:p>
    <w:p>
      <w:r>
        <w:rPr>
          <w:rFonts w:ascii="Calibri" w:hAnsi="Calibri"/>
          <w:b/>
          <w:sz w:val="22"/>
        </w:rPr>
        <w:t>34.1.</w:t>
      </w:r>
      <w:r>
        <w:rPr>
          <w:rFonts w:ascii="Calibri" w:hAnsi="Calibri"/>
          <w:sz w:val="22"/>
        </w:rPr>
        <w:t xml:space="preserve"> Baudinį gali skirti bet kuris aikštės teisėjas; apie pažeidimą taip pat gali pranešti bet kuris dešimties sekundžių laiko matuotojas, panaudodamas dešimties sekundžių baudinio garsą. Prie sekretoriato stalo esantis teisėjas su juo patikslina aplinkybes, tada patvirtina baudinį ir imasi reikiamų veiksmų.</w:t>
      </w:r>
    </w:p>
    <w:p>
      <w:r>
        <w:rPr>
          <w:rFonts w:ascii="Calibri" w:hAnsi="Calibri"/>
          <w:b/>
          <w:sz w:val="22"/>
        </w:rPr>
        <w:t>34.2.</w:t>
      </w:r>
      <w:r>
        <w:rPr>
          <w:rFonts w:ascii="Calibri" w:hAnsi="Calibri"/>
          <w:sz w:val="22"/>
        </w:rPr>
        <w:t xml:space="preserve"> Komandos sudėties lape nurodyti, bet aikštėje nesantys nariai su aikštės žaidėjais gali bendrauti tik oficialiai sustabdžius žaidimą švilpuku ir tik iki paskelbiama „Quiet please“. Po šios komandos toliau bendraujančiai komandai skiriamas komandinis baudinys už neteisėtą instruktavimą.</w:t>
      </w:r>
    </w:p>
    <w:p>
      <w:r>
        <w:rPr>
          <w:rFonts w:ascii="Calibri" w:hAnsi="Calibri"/>
          <w:b/>
          <w:sz w:val="22"/>
        </w:rPr>
        <w:t>34.3.</w:t>
      </w:r>
      <w:r>
        <w:rPr>
          <w:rFonts w:ascii="Calibri" w:hAnsi="Calibri"/>
          <w:sz w:val="22"/>
        </w:rPr>
        <w:t xml:space="preserve"> Antrą kartą per tas pačias rungtynes neteisėtai instruktavęs asmuo pašalinamas iš žaidimo vietos, o komandai skiriamas baudinys. Jei kaltininkas neaiškus, asmenys šalinami pagal protokolo duomenis tokia tvarka: 1) vyriausiasis treneris arba pirmas nurodytas personalo narys; 2) trenerio padėjėjas arba antras personalo narys; 3) bet kuris kitas ant suolelio likęs personalo narys; 4) ant suolelio esantys žaidėjai didėjančia numerių tvarka.</w:t>
      </w:r>
    </w:p>
    <w:p>
      <w:r>
        <w:rPr>
          <w:rFonts w:ascii="Calibri" w:hAnsi="Calibri"/>
          <w:b/>
          <w:sz w:val="22"/>
        </w:rPr>
        <w:t>34.4.</w:t>
      </w:r>
      <w:r>
        <w:rPr>
          <w:rFonts w:ascii="Calibri" w:hAnsi="Calibri"/>
          <w:sz w:val="22"/>
        </w:rPr>
        <w:t xml:space="preserve"> Elektroninėmis priemonėmis instruktuoti iš žiūrovų zonos komandos suolelio narius leidžiama. Žaidėjai negali naudoti klausos įrenginių pagal 6.6 taisyklę. Jei elektroninio instruktavimo įrenginys skleidžia rungtynėms trukdantį garsą ar triukšmą, skiriamas komandinis baudinys už neteisėtą instruktavimą; įrenginys išjungiamas, pašalinamas iš suolelio zonos ir perduodamas sekretoriato teisėjams.</w:t>
      </w:r>
    </w:p>
    <w:p>
      <w:pPr>
        <w:pStyle w:val="Heading2"/>
      </w:pPr>
      <w:r>
        <w:rPr>
          <w:rFonts w:ascii="Calibri" w:hAnsi="Calibri"/>
          <w:sz w:val="22"/>
        </w:rPr>
        <w:t>35. Triukšmas</w:t>
      </w:r>
    </w:p>
    <w:p>
      <w:r>
        <w:rPr>
          <w:rFonts w:ascii="Calibri" w:hAnsi="Calibri"/>
          <w:b/>
          <w:sz w:val="22"/>
        </w:rPr>
        <w:t>35.1.</w:t>
      </w:r>
      <w:r>
        <w:rPr>
          <w:rFonts w:ascii="Calibri" w:hAnsi="Calibri"/>
          <w:sz w:val="22"/>
        </w:rPr>
        <w:t xml:space="preserve"> Už bet kurio metančios komandos aikštėje esančio nario nereikalingą triukšmą nuo metimo pradžios iki kamuolys paliečia besiginančią komandą, kerta šoninę liniją arba paliečia jos vartų virpstą skiriamas komandinis baudinys už triukšmą.</w:t>
      </w:r>
    </w:p>
    <w:p>
      <w:r>
        <w:rPr>
          <w:rFonts w:ascii="Calibri" w:hAnsi="Calibri"/>
          <w:b/>
          <w:sz w:val="22"/>
        </w:rPr>
        <w:t>35.2.</w:t>
      </w:r>
      <w:r>
        <w:rPr>
          <w:rFonts w:ascii="Calibri" w:hAnsi="Calibri"/>
          <w:sz w:val="22"/>
        </w:rPr>
        <w:t xml:space="preserve"> Nereikalingu triukšmu laikomi, be kita ko, gyvūnų garsų mėgdžiojimas, perdėtas trypimas, daužymas kumščiais ar pliaukšėjimas delnais į aikštę, perdėtas plojimas, švilpimas, dainavimas, batų cypinimas, liežuvio spragsėjimas, nuolatinis perdėtas ar su žaidimu nesusijęs kalbėjimas ir nereikalingas šaukimas.</w:t>
      </w:r>
    </w:p>
    <w:p>
      <w:pPr>
        <w:pStyle w:val="Heading1"/>
      </w:pPr>
      <w:r>
        <w:rPr>
          <w:rFonts w:ascii="Calibri" w:hAnsi="Calibri"/>
          <w:sz w:val="22"/>
        </w:rPr>
        <w:t>G skyrius. Rungtynių pabaiga</w:t>
      </w:r>
    </w:p>
    <w:p>
      <w:pPr>
        <w:pStyle w:val="Heading2"/>
      </w:pPr>
      <w:r>
        <w:rPr>
          <w:rFonts w:ascii="Calibri" w:hAnsi="Calibri"/>
          <w:sz w:val="22"/>
        </w:rPr>
        <w:t>36. Pratęsimas</w:t>
      </w:r>
    </w:p>
    <w:p>
      <w:r>
        <w:rPr>
          <w:rFonts w:ascii="Calibri" w:hAnsi="Calibri"/>
          <w:b/>
          <w:sz w:val="22"/>
        </w:rPr>
        <w:t>36.1.</w:t>
      </w:r>
      <w:r>
        <w:rPr>
          <w:rFonts w:ascii="Calibri" w:hAnsi="Calibri"/>
          <w:sz w:val="22"/>
        </w:rPr>
        <w:t xml:space="preserve"> Jei pasibaigus pagrindiniam laikui rezultatas lygus ir būtina nustatyti nugalėtoją, žaidžiamas vienas papildomas 6 minučių kėlinys.</w:t>
      </w:r>
    </w:p>
    <w:p>
      <w:r>
        <w:rPr>
          <w:rFonts w:ascii="Calibri" w:hAnsi="Calibri"/>
          <w:b/>
          <w:sz w:val="22"/>
        </w:rPr>
        <w:t>36.2.</w:t>
      </w:r>
      <w:r>
        <w:rPr>
          <w:rFonts w:ascii="Calibri" w:hAnsi="Calibri"/>
          <w:sz w:val="22"/>
        </w:rPr>
        <w:t xml:space="preserve"> Tarp pagrindinio laiko pabaigos ir pratęsimo pradžios daroma 5 minučių pertrauka. Jos metu metama moneta, kad būtų nustatyta, kuri komanda mes, kuri ginsis ir kurioje aikštės pusėje komandos pradės pratęsimą.</w:t>
      </w:r>
    </w:p>
    <w:p>
      <w:r>
        <w:rPr>
          <w:rFonts w:ascii="Calibri" w:hAnsi="Calibri"/>
          <w:b/>
          <w:sz w:val="22"/>
        </w:rPr>
        <w:t>36.3.</w:t>
      </w:r>
      <w:r>
        <w:rPr>
          <w:rFonts w:ascii="Calibri" w:hAnsi="Calibri"/>
          <w:sz w:val="22"/>
        </w:rPr>
        <w:t xml:space="preserve"> Laimi pirmoji įvartį pelniusi komanda.</w:t>
      </w:r>
    </w:p>
    <w:p>
      <w:pPr>
        <w:pStyle w:val="Heading2"/>
      </w:pPr>
      <w:r>
        <w:rPr>
          <w:rFonts w:ascii="Calibri" w:hAnsi="Calibri"/>
          <w:sz w:val="22"/>
        </w:rPr>
        <w:t>37. Papildomi metimai</w:t>
      </w:r>
    </w:p>
    <w:p>
      <w:r>
        <w:rPr>
          <w:rFonts w:ascii="Calibri" w:hAnsi="Calibri"/>
          <w:b/>
          <w:sz w:val="22"/>
        </w:rPr>
        <w:t>37.1.</w:t>
      </w:r>
      <w:r>
        <w:rPr>
          <w:rFonts w:ascii="Calibri" w:hAnsi="Calibri"/>
          <w:sz w:val="22"/>
        </w:rPr>
        <w:t xml:space="preserve"> Jei po pratęsimo rezultatas tebėra lygus, nugalėtojas nustatomas papildomais metimais. Jiems taikomos žaidimo taisyklės.</w:t>
      </w:r>
    </w:p>
    <w:p>
      <w:r>
        <w:rPr>
          <w:rFonts w:ascii="Calibri" w:hAnsi="Calibri"/>
          <w:b/>
          <w:sz w:val="22"/>
        </w:rPr>
        <w:t>37.2.</w:t>
      </w:r>
      <w:r>
        <w:rPr>
          <w:rFonts w:ascii="Calibri" w:hAnsi="Calibri"/>
          <w:sz w:val="22"/>
        </w:rPr>
        <w:t xml:space="preserve"> Kai rungtynėse būtina nustatyti nugalėtoją, per prieš rungtynes vykstantį monetos metimą treneriui pateikiamas papildomų metimų žaidėjų eiliškumo lapas. Jame turi būti visi rungtynių protokolo informaciniame lape nurodyti žaidėjai.</w:t>
      </w:r>
    </w:p>
    <w:p>
      <w:r>
        <w:rPr>
          <w:rFonts w:ascii="Calibri" w:hAnsi="Calibri"/>
          <w:b/>
          <w:sz w:val="22"/>
        </w:rPr>
        <w:t>37.3.</w:t>
      </w:r>
      <w:r>
        <w:rPr>
          <w:rFonts w:ascii="Calibri" w:hAnsi="Calibri"/>
          <w:sz w:val="22"/>
        </w:rPr>
        <w:t xml:space="preserve"> Kiekvienai komandai tenkantis papildomų metimų skaičius nustatomas pagal mažesnį viename iš abiejų eiliškumo lapų nurodytų žaidėjų skaičių.</w:t>
      </w:r>
    </w:p>
    <w:p>
      <w:r>
        <w:rPr>
          <w:rFonts w:ascii="Calibri" w:hAnsi="Calibri"/>
          <w:b/>
          <w:sz w:val="22"/>
        </w:rPr>
        <w:t>37.4.</w:t>
      </w:r>
      <w:r>
        <w:rPr>
          <w:rFonts w:ascii="Calibri" w:hAnsi="Calibri"/>
          <w:sz w:val="22"/>
        </w:rPr>
        <w:t xml:space="preserve"> Prieš papildomus metimus metama moneta pirmai mesiančiai komandai nustatyti. Treneris tuo metu teisėjui pateikia per pirmąjį monetos metimą gautą eiliškumo lapą. Žaidėjai meta ir ginasi jame nurodyta tvarka.</w:t>
      </w:r>
    </w:p>
    <w:p>
      <w:r>
        <w:rPr>
          <w:rFonts w:ascii="Calibri" w:hAnsi="Calibri"/>
          <w:b/>
          <w:sz w:val="22"/>
        </w:rPr>
        <w:t>37.5.</w:t>
      </w:r>
      <w:r>
        <w:rPr>
          <w:rFonts w:ascii="Calibri" w:hAnsi="Calibri"/>
          <w:sz w:val="22"/>
        </w:rPr>
        <w:t xml:space="preserve"> Visi žaidėjai dėvi golbolo akinius ir lieka komandos suolelio zonoje, kol teisėjas juos palydi į aikštę. Akiniai nenusiimami iki visų papildomų metimų pabaigos.</w:t>
      </w:r>
    </w:p>
    <w:p>
      <w:r>
        <w:rPr>
          <w:rFonts w:ascii="Calibri" w:hAnsi="Calibri"/>
          <w:b/>
          <w:sz w:val="22"/>
        </w:rPr>
        <w:t>37.6.</w:t>
      </w:r>
      <w:r>
        <w:rPr>
          <w:rFonts w:ascii="Calibri" w:hAnsi="Calibri"/>
          <w:sz w:val="22"/>
        </w:rPr>
        <w:t xml:space="preserve"> Pirmasis kiekvienos komandos eiliškumo lape nurodytas žaidėjas, padedamas teisėjo, įeina į aikštę ir pastatomas galinėje centro pozicijoje. Kiekvienas žaidėjas meta po kartą. Teisėjas pristato žaidėją, paskelbdamas komandos pavadinimą ir numerį, bei nurodo, kuris meta pirmas.</w:t>
      </w:r>
    </w:p>
    <w:p>
      <w:r>
        <w:rPr>
          <w:rFonts w:ascii="Calibri" w:hAnsi="Calibri"/>
          <w:b/>
          <w:sz w:val="22"/>
        </w:rPr>
        <w:t>37.7.</w:t>
      </w:r>
      <w:r>
        <w:rPr>
          <w:rFonts w:ascii="Calibri" w:hAnsi="Calibri"/>
          <w:sz w:val="22"/>
        </w:rPr>
        <w:t xml:space="preserve"> Per papildomus metimus susižeidęs žaidėjas išbraukiamas iš eiliškumo lapo, kiti žaidėjai jame perkeliami viena vieta aukštyn, o paskutinis varžovų komandos sekos žaidėjas išbraukiamas.</w:t>
      </w:r>
    </w:p>
    <w:p>
      <w:r>
        <w:rPr>
          <w:rFonts w:ascii="Calibri" w:hAnsi="Calibri"/>
          <w:b/>
          <w:sz w:val="22"/>
        </w:rPr>
        <w:t>37.8.</w:t>
      </w:r>
      <w:r>
        <w:rPr>
          <w:rFonts w:ascii="Calibri" w:hAnsi="Calibri"/>
          <w:sz w:val="22"/>
        </w:rPr>
        <w:t xml:space="preserve"> Monetos metimą laimėjusi komanda pasirenka mesti arba gintis pirmojoje metimų poroje. Antrojoje poroje tvarka apverčiama ir taip kaitaliojama, kol nustatomas nugalėtojas.</w:t>
      </w:r>
    </w:p>
    <w:p>
      <w:r>
        <w:rPr>
          <w:rFonts w:ascii="Calibri" w:hAnsi="Calibri"/>
          <w:b/>
          <w:sz w:val="22"/>
        </w:rPr>
        <w:t>37.9.</w:t>
      </w:r>
      <w:r>
        <w:rPr>
          <w:rFonts w:ascii="Calibri" w:hAnsi="Calibri"/>
          <w:sz w:val="22"/>
        </w:rPr>
        <w:t xml:space="preserve"> Metančiai komandai padarius asmeninį arba komandinį pažeidimą, metimas įskaitomas, bet juo negalima pelnyti įvarčio ir papildomas baudinys neskiriamas. Besiginančiai komandai padarius pažeidimą, metimas kartojamas, nebent pelnytas įvartis. Įvartis į savus vartus laikomas metimu už aikštės ir neįskaitomas.</w:t>
      </w:r>
    </w:p>
    <w:p>
      <w:r>
        <w:rPr>
          <w:rFonts w:ascii="Calibri" w:hAnsi="Calibri"/>
          <w:b/>
          <w:sz w:val="22"/>
        </w:rPr>
        <w:t>37.10.</w:t>
      </w:r>
      <w:r>
        <w:rPr>
          <w:rFonts w:ascii="Calibri" w:hAnsi="Calibri"/>
          <w:sz w:val="22"/>
        </w:rPr>
        <w:t xml:space="preserve"> Kiekvienoje aikštėje esančių žaidėjų poroje abu žaidėjai meta ir ginasi pagal monetos metimo rezultatą. Seka kartojama, kol galimybę mesti ir gintis gauna nustatytas mažiausias žaidėjų skaičius. Komanda skelbiama nugalėtoja, kai jos įvarčių persvara tampa didesnė už likusių metimų skaičių.</w:t>
      </w:r>
    </w:p>
    <w:p>
      <w:r>
        <w:rPr>
          <w:rFonts w:ascii="Calibri" w:hAnsi="Calibri"/>
          <w:b/>
          <w:sz w:val="22"/>
        </w:rPr>
        <w:t>37.11.</w:t>
      </w:r>
      <w:r>
        <w:rPr>
          <w:rFonts w:ascii="Calibri" w:hAnsi="Calibri"/>
          <w:sz w:val="22"/>
        </w:rPr>
        <w:t xml:space="preserve"> Nugalėtoja skelbiama daugiau įvarčių pelniusi komanda.</w:t>
      </w:r>
    </w:p>
    <w:p>
      <w:r>
        <w:rPr>
          <w:rFonts w:ascii="Calibri" w:hAnsi="Calibri"/>
          <w:b/>
          <w:sz w:val="22"/>
        </w:rPr>
        <w:t>37.12.</w:t>
      </w:r>
      <w:r>
        <w:rPr>
          <w:rFonts w:ascii="Calibri" w:hAnsi="Calibri"/>
          <w:sz w:val="22"/>
        </w:rPr>
        <w:t xml:space="preserve"> Jei nuo metimo pradžios kamuolys atsiduria metiko komandos vartuose, komanda praranda kamuolį, tačiau įvartis neįskaitomas.</w:t>
      </w:r>
    </w:p>
    <w:p>
      <w:pPr>
        <w:pStyle w:val="Heading2"/>
      </w:pPr>
      <w:r>
        <w:rPr>
          <w:rFonts w:ascii="Calibri" w:hAnsi="Calibri"/>
          <w:sz w:val="22"/>
        </w:rPr>
        <w:t>38. Lemiamieji papildomi metimai</w:t>
      </w:r>
    </w:p>
    <w:p>
      <w:r>
        <w:rPr>
          <w:rFonts w:ascii="Calibri" w:hAnsi="Calibri"/>
          <w:b/>
          <w:sz w:val="22"/>
        </w:rPr>
        <w:t>38.1.</w:t>
      </w:r>
      <w:r>
        <w:rPr>
          <w:rFonts w:ascii="Calibri" w:hAnsi="Calibri"/>
          <w:sz w:val="22"/>
        </w:rPr>
        <w:t xml:space="preserve"> Jei po papildomų metimų rezultatas tebėra lygus, nugalėtojas nustatomas lemiamaisiais papildomais metimais. Jiems taikomos žaidimo taisyklės.</w:t>
      </w:r>
    </w:p>
    <w:p>
      <w:r>
        <w:rPr>
          <w:rFonts w:ascii="Calibri" w:hAnsi="Calibri"/>
          <w:b/>
          <w:sz w:val="22"/>
        </w:rPr>
        <w:t>38.2.</w:t>
      </w:r>
      <w:r>
        <w:rPr>
          <w:rFonts w:ascii="Calibri" w:hAnsi="Calibri"/>
          <w:sz w:val="22"/>
        </w:rPr>
        <w:t xml:space="preserve"> Juose pagal papildomų metimų eiliškumo lapą dalyvauja tie patys žaidėjai, kurie atliko papildomus metimus.</w:t>
      </w:r>
    </w:p>
    <w:p>
      <w:r>
        <w:rPr>
          <w:rFonts w:ascii="Calibri" w:hAnsi="Calibri"/>
          <w:b/>
          <w:sz w:val="22"/>
        </w:rPr>
        <w:t>38.3.</w:t>
      </w:r>
      <w:r>
        <w:rPr>
          <w:rFonts w:ascii="Calibri" w:hAnsi="Calibri"/>
          <w:sz w:val="22"/>
        </w:rPr>
        <w:t xml:space="preserve"> Prieš lemiamuosius papildomus metimus metama moneta pirmai mesiančiai komandai nustatyti.</w:t>
      </w:r>
    </w:p>
    <w:p>
      <w:r>
        <w:rPr>
          <w:rFonts w:ascii="Calibri" w:hAnsi="Calibri"/>
          <w:b/>
          <w:sz w:val="22"/>
        </w:rPr>
        <w:t>38.4.</w:t>
      </w:r>
      <w:r>
        <w:rPr>
          <w:rFonts w:ascii="Calibri" w:hAnsi="Calibri"/>
          <w:sz w:val="22"/>
        </w:rPr>
        <w:t xml:space="preserve"> Pirmasis kiekvienos komandos eiliškumo lape nurodytas žaidėjas, padedamas teisėjo, įeina į aikštę ir pastatomas galinėje centro pozicijoje. Kiekvienas meta po kartą. Teisėjas pristato žaidėją, paskelbdamas komandos pavadinimą ir numerį, bei nurodo, kuris meta pirmas.</w:t>
      </w:r>
    </w:p>
    <w:p>
      <w:r>
        <w:rPr>
          <w:rFonts w:ascii="Calibri" w:hAnsi="Calibri"/>
          <w:b/>
          <w:sz w:val="22"/>
        </w:rPr>
        <w:t>38.5.</w:t>
      </w:r>
      <w:r>
        <w:rPr>
          <w:rFonts w:ascii="Calibri" w:hAnsi="Calibri"/>
          <w:sz w:val="22"/>
        </w:rPr>
        <w:t xml:space="preserve"> Monetos metimą laimėjusi komanda pasirenka mesti arba gintis pirmojoje metimų poroje. Antrojoje poroje tvarka apverčiama ir taip kaitaliojama, kol nustatomas nugalėtojas. Nugalėtojas nustatomas, kai, pasibaigus bet kuriai metimų porai, viena komanda pirmauja.</w:t>
      </w:r>
    </w:p>
    <w:p>
      <w:r>
        <w:rPr>
          <w:rFonts w:ascii="Calibri" w:hAnsi="Calibri"/>
          <w:b/>
          <w:sz w:val="22"/>
        </w:rPr>
        <w:t>38.6.</w:t>
      </w:r>
      <w:r>
        <w:rPr>
          <w:rFonts w:ascii="Calibri" w:hAnsi="Calibri"/>
          <w:sz w:val="22"/>
        </w:rPr>
        <w:t xml:space="preserve"> Žaidėjui susižeidus taikoma 37.7 taisyklė.</w:t>
      </w:r>
    </w:p>
    <w:p>
      <w:r>
        <w:rPr>
          <w:rFonts w:ascii="Calibri" w:hAnsi="Calibri"/>
          <w:b/>
          <w:sz w:val="22"/>
        </w:rPr>
        <w:t>38.7.</w:t>
      </w:r>
      <w:r>
        <w:rPr>
          <w:rFonts w:ascii="Calibri" w:hAnsi="Calibri"/>
          <w:sz w:val="22"/>
        </w:rPr>
        <w:t xml:space="preserve"> Metančiai komandai padarius asmeninį arba komandinį pažeidimą, metimas įskaitomas, bet juo negalima pelnyti įvarčio ir papildomas baudinys neskiriamas. Besiginančiai komandai padarius pažeidimą, metimas kartojamas, nebent pelnytas įvartis.</w:t>
      </w:r>
    </w:p>
    <w:p>
      <w:r>
        <w:rPr>
          <w:rFonts w:ascii="Calibri" w:hAnsi="Calibri"/>
          <w:b/>
          <w:sz w:val="22"/>
        </w:rPr>
        <w:t>38.8.</w:t>
      </w:r>
      <w:r>
        <w:rPr>
          <w:rFonts w:ascii="Calibri" w:hAnsi="Calibri"/>
          <w:sz w:val="22"/>
        </w:rPr>
        <w:t xml:space="preserve"> Jei metimo metu kamuolys atsiduria metiko komandos vartuose, komanda praranda kamuolį, tačiau įvartis neįskaitomas.</w:t>
      </w:r>
    </w:p>
    <w:p>
      <w:pPr>
        <w:pStyle w:val="Heading2"/>
      </w:pPr>
      <w:r>
        <w:rPr>
          <w:rFonts w:ascii="Calibri" w:hAnsi="Calibri"/>
          <w:sz w:val="22"/>
        </w:rPr>
        <w:t>39. Rungtynių protokolo pasirašymas ir protesto pateikimo tvarka</w:t>
      </w:r>
    </w:p>
    <w:p>
      <w:r>
        <w:rPr>
          <w:rFonts w:ascii="Calibri" w:hAnsi="Calibri"/>
          <w:b/>
          <w:sz w:val="22"/>
        </w:rPr>
        <w:t>39.1.</w:t>
      </w:r>
      <w:r>
        <w:rPr>
          <w:rFonts w:ascii="Calibri" w:hAnsi="Calibri"/>
          <w:sz w:val="22"/>
        </w:rPr>
        <w:t xml:space="preserve"> Iškart po rungtynių prie sekretoriato stalo protokolą pasirašo abiejų komandų treneriai, abu teisėjai ir protokolo pildytojas. Treneriai jame taip pat nedelsdami pažymi, ar ketina pateikti protestą. Iškart po rungtynių protokolo nepasirašęs treneris negali protestuoti dėl jų rezultato.</w:t>
      </w:r>
    </w:p>
    <w:p>
      <w:r>
        <w:rPr>
          <w:rFonts w:ascii="Calibri" w:hAnsi="Calibri"/>
          <w:b/>
          <w:sz w:val="22"/>
        </w:rPr>
        <w:t>39.2.</w:t>
      </w:r>
      <w:r>
        <w:rPr>
          <w:rFonts w:ascii="Calibri" w:hAnsi="Calibri"/>
          <w:sz w:val="22"/>
        </w:rPr>
        <w:t xml:space="preserve"> Apie ketinimą protestuoti pažymėjęs treneris per 30 minučių nuo ginčijamų rungtynių pabaigos techniniam delegatui arba jo atstovui turi pateikti užpildytą protesto formą ir protesto mokestį. Mokestį nustato varžybų organizacinis komitetas; grynaisiais mokama ne mažiau kaip 100 Eur arba lygiavertė suma.</w:t>
      </w:r>
    </w:p>
    <w:p>
      <w:r>
        <w:rPr>
          <w:rFonts w:ascii="Calibri" w:hAnsi="Calibri"/>
          <w:b/>
          <w:sz w:val="22"/>
        </w:rPr>
        <w:t>39.3.</w:t>
      </w:r>
      <w:r>
        <w:rPr>
          <w:rFonts w:ascii="Calibri" w:hAnsi="Calibri"/>
          <w:sz w:val="22"/>
        </w:rPr>
        <w:t xml:space="preserve"> Protestas pateikiamas IBSA protesto formoje anglų kalba ir jame nurodomi ginčijamų taisyklių numeriai. Protestuoti galima tik dėl netinkamo taisyklės taikymo, bet ne dėl varžybų vietos. Kaip įrodymą galima naudoti oficialios turnyro transliacijos vaizdo medžiagą; pačių komandų filmuota medžiaga neleidžiama.</w:t>
      </w:r>
    </w:p>
    <w:p>
      <w:r>
        <w:rPr>
          <w:rFonts w:ascii="Calibri" w:hAnsi="Calibri"/>
          <w:b/>
          <w:sz w:val="22"/>
        </w:rPr>
        <w:t>39.4.</w:t>
      </w:r>
      <w:r>
        <w:rPr>
          <w:rFonts w:ascii="Calibri" w:hAnsi="Calibri"/>
          <w:sz w:val="22"/>
        </w:rPr>
        <w:t xml:space="preserve"> Techninis delegatas, turnyro direktorius arba paskirtas atstovas protesto teikėjui praneša protestų komisijos posėdžio laiką ir vietą. Visi dalyviai gauna laiko trumpai išdėstyti rašytinį protestą papildančius aktualius argumentus. Pirmas pasisako protesto teikėjas, tada kita proteste nurodyta šalis gali pateikti pastabas ar atsakymą. Visa pagrindžianti informacija pateikiama kartu su protesto forma ir jos instrukcijose nustatytu formatu. Vaizdo arba kiti skaitmeniniai įrašai priimami tik padaryti organizacinio komiteto įranga. Organizatorių įrašas apima laiką nuo 5 minučių iki rungtynių pradžios iki 5 minučių po jų pabaigos.</w:t>
      </w:r>
    </w:p>
    <w:p>
      <w:r>
        <w:rPr>
          <w:rFonts w:ascii="Calibri" w:hAnsi="Calibri"/>
          <w:b/>
          <w:sz w:val="22"/>
        </w:rPr>
        <w:t>39.5.</w:t>
      </w:r>
      <w:r>
        <w:rPr>
          <w:rFonts w:ascii="Calibri" w:hAnsi="Calibri"/>
          <w:sz w:val="22"/>
        </w:rPr>
        <w:t xml:space="preserve"> Protestų komisijos sprendimas galutinis. Abi komandos ir visos proteste minimos šalys apie jį raštu informuojamos ne vėliau kaip per 30 minučių nuo komisijos posėdžio pabaigos. Rašytiniame sprendime pateikiami motyvai. Kol komisija nenusprendė, visi protestuojamų rungtynių rezultatai laikomi nepatvirtintais.</w:t>
      </w:r>
    </w:p>
    <w:p>
      <w:r>
        <w:rPr>
          <w:rFonts w:ascii="Calibri" w:hAnsi="Calibri"/>
          <w:b/>
          <w:sz w:val="22"/>
        </w:rPr>
        <w:t>39.6.</w:t>
      </w:r>
      <w:r>
        <w:rPr>
          <w:rFonts w:ascii="Calibri" w:hAnsi="Calibri"/>
          <w:sz w:val="22"/>
        </w:rPr>
        <w:t xml:space="preserve"> Protestą patenkinus mokestis grąžinamas jo teikėjui. Protestą atmetus mokestis atitenka IBSA, jei turnyras sankcionuotas IBSA, arba vietos organizaciniam komitetui, jei turnyras IBSA nesankcionuotas.</w:t>
      </w:r>
    </w:p>
    <w:p>
      <w:pPr>
        <w:pStyle w:val="Heading1"/>
      </w:pPr>
      <w:r>
        <w:rPr>
          <w:rFonts w:ascii="Calibri" w:hAnsi="Calibri"/>
          <w:sz w:val="22"/>
        </w:rPr>
        <w:t>H skyrius. Teisėjų įgaliojimai ir netinkamas elgesys su oficialiais asmenimis</w:t>
      </w:r>
    </w:p>
    <w:p>
      <w:pPr>
        <w:pStyle w:val="Heading2"/>
      </w:pPr>
      <w:r>
        <w:rPr>
          <w:rFonts w:ascii="Calibri" w:hAnsi="Calibri"/>
          <w:sz w:val="22"/>
        </w:rPr>
        <w:t>40. Teisėjų įgaliojimai</w:t>
      </w:r>
    </w:p>
    <w:p>
      <w:r>
        <w:rPr>
          <w:rFonts w:ascii="Calibri" w:hAnsi="Calibri"/>
          <w:b/>
          <w:sz w:val="22"/>
        </w:rPr>
        <w:t>40.1.</w:t>
      </w:r>
      <w:r>
        <w:rPr>
          <w:rFonts w:ascii="Calibri" w:hAnsi="Calibri"/>
          <w:sz w:val="22"/>
        </w:rPr>
        <w:t xml:space="preserve"> Visais saugumo, taisyklių, procedūrų ir žaidimo klausimais galutinį sprendimą priima teisėjas.</w:t>
      </w:r>
    </w:p>
    <w:p>
      <w:r>
        <w:rPr>
          <w:rFonts w:ascii="Calibri" w:hAnsi="Calibri"/>
          <w:b/>
          <w:sz w:val="22"/>
        </w:rPr>
        <w:t>40.2.</w:t>
      </w:r>
      <w:r>
        <w:rPr>
          <w:rFonts w:ascii="Calibri" w:hAnsi="Calibri"/>
          <w:sz w:val="22"/>
        </w:rPr>
        <w:t xml:space="preserve"> Kilus komandos ir oficialaus asmens ginčui, su teisėju gali kalbėti tik vyriausiasis treneris. Pokalbis vyksta tik per oficialią žaidimo pertrauką ir teisėjui patvirtinus, kad trenerio prašymas išgirstas.</w:t>
      </w:r>
    </w:p>
    <w:p>
      <w:r>
        <w:rPr>
          <w:rFonts w:ascii="Calibri" w:hAnsi="Calibri"/>
          <w:b/>
          <w:sz w:val="22"/>
        </w:rPr>
        <w:t>40.3.</w:t>
      </w:r>
      <w:r>
        <w:rPr>
          <w:rFonts w:ascii="Calibri" w:hAnsi="Calibri"/>
          <w:sz w:val="22"/>
        </w:rPr>
        <w:t xml:space="preserve"> Teisėjas privalo paaiškinti klausimą vyriausiajam treneriui.</w:t>
      </w:r>
    </w:p>
    <w:p>
      <w:r>
        <w:rPr>
          <w:rFonts w:ascii="Calibri" w:hAnsi="Calibri"/>
          <w:b/>
          <w:sz w:val="22"/>
        </w:rPr>
        <w:t>40.4.</w:t>
      </w:r>
      <w:r>
        <w:rPr>
          <w:rFonts w:ascii="Calibri" w:hAnsi="Calibri"/>
          <w:sz w:val="22"/>
        </w:rPr>
        <w:t xml:space="preserve"> Jei treneris su paaiškinimu nesutinka, rungtynės užbaigiamos, o po jų treneris gali pateikti protestą organizacinio komiteto pateiktoje IBSA protesto formoje.</w:t>
      </w:r>
    </w:p>
    <w:p>
      <w:r>
        <w:rPr>
          <w:rFonts w:ascii="Calibri" w:hAnsi="Calibri"/>
          <w:b/>
          <w:sz w:val="22"/>
        </w:rPr>
        <w:t>40.5.</w:t>
      </w:r>
      <w:r>
        <w:rPr>
          <w:rFonts w:ascii="Calibri" w:hAnsi="Calibri"/>
          <w:sz w:val="22"/>
        </w:rPr>
        <w:t xml:space="preserve"> Jei paaiškinimą gavęs vyriausiasis treneris toliau ginčijasi su teisėju tuo pačiu klausimu ir dėl to neįmanoma tęsti rungtynių, teisėjas gali jį pašalinti iš žaidimo vietos. Prieš tai teisėjas privalo trenerį įspėti. Komandai skiriamas komandinis baudinys už nesportišką elgesį.</w:t>
      </w:r>
    </w:p>
    <w:p>
      <w:pPr>
        <w:pStyle w:val="Heading2"/>
      </w:pPr>
      <w:r>
        <w:rPr>
          <w:rFonts w:ascii="Calibri" w:hAnsi="Calibri"/>
          <w:sz w:val="22"/>
        </w:rPr>
        <w:t>41. Bendrosios teisėjų nuostatos</w:t>
      </w:r>
    </w:p>
    <w:p>
      <w:r>
        <w:rPr>
          <w:rFonts w:ascii="Calibri" w:hAnsi="Calibri"/>
          <w:b/>
          <w:sz w:val="22"/>
        </w:rPr>
        <w:t>41.1.</w:t>
      </w:r>
      <w:r>
        <w:rPr>
          <w:rFonts w:ascii="Calibri" w:hAnsi="Calibri"/>
          <w:sz w:val="22"/>
        </w:rPr>
        <w:t xml:space="preserve"> Teisėjai privalo būti nešališki visų žaidėjų, trenerių ir personalo narių atžvilgiu.</w:t>
      </w:r>
    </w:p>
    <w:p>
      <w:r>
        <w:rPr>
          <w:rFonts w:ascii="Calibri" w:hAnsi="Calibri"/>
          <w:b/>
          <w:sz w:val="22"/>
        </w:rPr>
        <w:t>41.2.</w:t>
      </w:r>
      <w:r>
        <w:rPr>
          <w:rFonts w:ascii="Calibri" w:hAnsi="Calibri"/>
          <w:sz w:val="22"/>
        </w:rPr>
        <w:t xml:space="preserve"> Teisėjas negali liesti žaidėjo, prieš tai nepranešęs apie savo ketinimą ir negavęs žodinio žaidėjo leidimo.</w:t>
      </w:r>
    </w:p>
    <w:p>
      <w:r>
        <w:rPr>
          <w:rFonts w:ascii="Calibri" w:hAnsi="Calibri"/>
          <w:b/>
          <w:sz w:val="22"/>
        </w:rPr>
        <w:t>41.3.</w:t>
      </w:r>
      <w:r>
        <w:rPr>
          <w:rFonts w:ascii="Calibri" w:hAnsi="Calibri"/>
          <w:sz w:val="22"/>
        </w:rPr>
        <w:t xml:space="preserve"> IBSA sankcionuojamuose turnyruose ir paralimpinėse žaidynėse kiekvienas teisėjas atstovauja vienai valstybei pagal savo pilietybę. Kelias pilietybes turintis teisėjas turi pasirinkti vieną atstovaujamą valstybę.</w:t>
      </w:r>
    </w:p>
    <w:p>
      <w:r>
        <w:rPr>
          <w:rFonts w:ascii="Calibri" w:hAnsi="Calibri"/>
          <w:b/>
          <w:sz w:val="22"/>
        </w:rPr>
        <w:t>41.4.</w:t>
      </w:r>
      <w:r>
        <w:rPr>
          <w:rFonts w:ascii="Calibri" w:hAnsi="Calibri"/>
          <w:sz w:val="22"/>
        </w:rPr>
        <w:t xml:space="preserve"> IBSA sankcionuojamuose turnyruose ir paralimpinėse žaidynėse teisėjas negali teisėjauti rungtynėms, kuriose viena komanda atstovauja tai pačiai valstybei kaip teisėjas.</w:t>
      </w:r>
    </w:p>
    <w:p>
      <w:r>
        <w:rPr>
          <w:rFonts w:ascii="Calibri" w:hAnsi="Calibri"/>
          <w:b/>
          <w:sz w:val="22"/>
        </w:rPr>
        <w:t>41.5.</w:t>
      </w:r>
      <w:r>
        <w:rPr>
          <w:rFonts w:ascii="Calibri" w:hAnsi="Calibri"/>
          <w:sz w:val="22"/>
        </w:rPr>
        <w:t xml:space="preserve"> Šių turnyrų atkrintamosiose varžybose teisėjas negali teisėjauti rungtynėms, kurios tiesiogiai nustato kitame etape jo atstovaujamos valstybės komandai teksiantį varžovą.</w:t>
      </w:r>
    </w:p>
    <w:p>
      <w:r>
        <w:rPr>
          <w:rFonts w:ascii="Calibri" w:hAnsi="Calibri"/>
          <w:b/>
          <w:sz w:val="22"/>
        </w:rPr>
        <w:t>41.6.</w:t>
      </w:r>
      <w:r>
        <w:rPr>
          <w:rFonts w:ascii="Calibri" w:hAnsi="Calibri"/>
          <w:sz w:val="22"/>
        </w:rPr>
        <w:t xml:space="preserve"> 41.4 ir 41.5 taisyklės taikomos ir teisėjui, nuolat gyvenančiam kitoje valstybėje nei jo deklaruota atstovaujama valstybė.</w:t>
      </w:r>
    </w:p>
    <w:p>
      <w:r>
        <w:rPr>
          <w:rFonts w:ascii="Calibri" w:hAnsi="Calibri"/>
          <w:b/>
          <w:sz w:val="22"/>
        </w:rPr>
        <w:t>41.7.</w:t>
      </w:r>
      <w:r>
        <w:rPr>
          <w:rFonts w:ascii="Calibri" w:hAnsi="Calibri"/>
          <w:sz w:val="22"/>
        </w:rPr>
        <w:t xml:space="preserve"> Įrodžius konfliktą, galintį paveikti nešališką teisėjo požiūrį į rungtynes, teisėjas negali teisėjauti rungtynėms, kuriose dalyvauja kita konflikto šalis, kol konfliktas neišspręstas.</w:t>
      </w:r>
    </w:p>
    <w:p>
      <w:pPr>
        <w:pStyle w:val="Heading2"/>
      </w:pPr>
      <w:r>
        <w:rPr>
          <w:rFonts w:ascii="Calibri" w:hAnsi="Calibri"/>
          <w:sz w:val="22"/>
        </w:rPr>
        <w:t>42. Netinkamas elgesys su oficialiais asmenimis</w:t>
      </w:r>
    </w:p>
    <w:p>
      <w:r>
        <w:rPr>
          <w:rFonts w:ascii="Calibri" w:hAnsi="Calibri"/>
          <w:b/>
          <w:sz w:val="22"/>
        </w:rPr>
        <w:t>42.1.</w:t>
      </w:r>
      <w:r>
        <w:rPr>
          <w:rFonts w:ascii="Calibri" w:hAnsi="Calibri"/>
          <w:sz w:val="22"/>
        </w:rPr>
        <w:t xml:space="preserve"> Apie bet kokį rungtynių dalyvio veiksmą, dėl kurio IBSA oficialus asmuo raštu praneša IBSA Golbolo sporto komitetui, sprendžiama kitame šio komiteto posėdyje. Sankcijas dalyviui arba dalyviams komitetas nustato pagal 53 nuostatą.</w:t>
      </w:r>
    </w:p>
    <w:p>
      <w:pPr>
        <w:pStyle w:val="Heading1"/>
      </w:pPr>
      <w:r>
        <w:rPr>
          <w:rFonts w:ascii="Calibri" w:hAnsi="Calibri"/>
          <w:sz w:val="22"/>
        </w:rPr>
        <w:t>Vertėjo pastabos prieš galutinį tvirtinimą</w:t>
      </w:r>
    </w:p>
    <w:p>
      <w:pPr>
        <w:pStyle w:val="ListNumber"/>
      </w:pPr>
      <w:r>
        <w:rPr>
          <w:rFonts w:ascii="Calibri" w:hAnsi="Calibri"/>
          <w:sz w:val="22"/>
        </w:rPr>
        <w:t xml:space="preserve">Dabartiniame Golbolas.lt vertime vartojamas terminas „puolimo zona“, todėl jis išlaikytas kaip </w:t>
      </w:r>
      <w:r>
        <w:rPr>
          <w:rFonts w:ascii="Calibri" w:hAnsi="Calibri"/>
          <w:i/>
          <w:sz w:val="22"/>
        </w:rPr>
        <w:t>Landing Area</w:t>
      </w:r>
      <w:r>
        <w:rPr>
          <w:rFonts w:ascii="Calibri" w:hAnsi="Calibri"/>
          <w:sz w:val="22"/>
        </w:rPr>
        <w:t xml:space="preserve"> atitikmuo. Oficialiai tvirtinant vertimą rekomenduojama tai suderinti su Lietuvos golbolo teisėjais.</w:t>
      </w:r>
    </w:p>
    <w:p>
      <w:pPr>
        <w:pStyle w:val="ListNumber"/>
      </w:pPr>
      <w:r>
        <w:rPr>
          <w:rFonts w:ascii="Calibri" w:hAnsi="Calibri"/>
          <w:i/>
          <w:sz w:val="22"/>
        </w:rPr>
        <w:t>Forfeit</w:t>
      </w:r>
      <w:r>
        <w:rPr>
          <w:rFonts w:ascii="Calibri" w:hAnsi="Calibri"/>
          <w:sz w:val="22"/>
        </w:rPr>
        <w:t xml:space="preserve"> išversta kaip „pralaimėjimas neatvykus“, tačiau ši taisyklė apima ir atvejį, kai rungtynių metu lieka tik vienas galintis žaisti žaidėjas. Galutiniame leidime galima rinktis platesnį terminą „techninis pralaimėjimas“.</w:t>
      </w:r>
    </w:p>
    <w:p>
      <w:pPr>
        <w:pStyle w:val="ListNumber"/>
      </w:pPr>
      <w:r>
        <w:rPr>
          <w:rFonts w:ascii="Calibri" w:hAnsi="Calibri"/>
          <w:sz w:val="22"/>
        </w:rPr>
        <w:t>Teisėjų pareigybių pavadinimai suderinti pagal funkciją. Santrumpa ITO pirmą kartą išskleista lietuviškai ir palikta skliaustuose.</w:t>
      </w:r>
    </w:p>
    <w:p>
      <w:pPr>
        <w:pStyle w:val="ListNumber"/>
      </w:pPr>
      <w:r>
        <w:rPr>
          <w:rFonts w:ascii="Calibri" w:hAnsi="Calibri"/>
          <w:sz w:val="22"/>
        </w:rPr>
        <w:t>Visi skaičiai, matmenys, leidžiamosios paklaidos, terminai ir sankcijos perkelti iš 2025 m. angliško originalo.</w:t>
      </w:r>
    </w:p>
    <w:p>
      <w:r>
        <w:br w:type="page"/>
      </w:r>
    </w:p>
    <w:p>
      <w:pPr>
        <w:pStyle w:val="Heading1"/>
      </w:pPr>
      <w:r>
        <w:rPr>
          <w:rFonts w:ascii="Calibri" w:hAnsi="Calibri"/>
          <w:sz w:val="22"/>
        </w:rPr>
        <w:t>B dalis. Turnyrų nuostatai</w:t>
      </w:r>
    </w:p>
    <w:p>
      <w:r>
        <w:rPr>
          <w:rFonts w:ascii="Calibri" w:hAnsi="Calibri"/>
          <w:sz w:val="22"/>
        </w:rPr>
        <w:t>Vertimo juodraštis peržiūrai. Originalas: „IBSA Goalball Rules and Regulations 2025 (v1.0)“, 2025 m. sausio 1 d. Kilus neatitikimų, vadovaujamasi oficialiu dokumentu anglų kalba.</w:t>
      </w:r>
    </w:p>
    <w:p>
      <w:pPr>
        <w:pStyle w:val="Heading2"/>
      </w:pPr>
      <w:r>
        <w:rPr>
          <w:rFonts w:ascii="Calibri" w:hAnsi="Calibri"/>
          <w:sz w:val="22"/>
        </w:rPr>
        <w:t>43. IBSA sankcionuojami turnyrai ir paralimpinės žaidynės</w:t>
      </w:r>
    </w:p>
    <w:p>
      <w:r>
        <w:rPr>
          <w:rFonts w:ascii="Calibri" w:hAnsi="Calibri"/>
          <w:sz w:val="22"/>
        </w:rPr>
        <w:t>IBSA Golbolo sporto komitetas pasilieka teisę prireikus keisti turnyrų nuostatus, jei apie tai prieš 60 dienų raštu paskelbia IBSA interneto svetainėje.</w:t>
      </w:r>
    </w:p>
    <w:p>
      <w:r>
        <w:rPr>
          <w:rFonts w:ascii="Calibri" w:hAnsi="Calibri"/>
          <w:b/>
          <w:sz w:val="22"/>
        </w:rPr>
        <w:t>43.1. IBSA sankcionuojami turnyrai ir paralimpinės žaidynės</w:t>
      </w:r>
    </w:p>
    <w:p>
      <w:r>
        <w:rPr>
          <w:rFonts w:ascii="Calibri" w:hAnsi="Calibri"/>
          <w:b/>
          <w:sz w:val="22"/>
        </w:rPr>
        <w:t>43.1.1. Paralimpinių žaidynių atrankos turnyrai:</w:t>
      </w:r>
    </w:p>
    <w:p>
      <w:pPr>
        <w:pStyle w:val="ListBullet"/>
      </w:pPr>
      <w:r>
        <w:rPr>
          <w:rFonts w:ascii="Calibri" w:hAnsi="Calibri"/>
          <w:sz w:val="22"/>
        </w:rPr>
        <w:t>IBSA golbolo pasaulio čempionatas;</w:t>
      </w:r>
    </w:p>
    <w:p>
      <w:pPr>
        <w:pStyle w:val="ListBullet"/>
      </w:pPr>
      <w:r>
        <w:rPr>
          <w:rFonts w:ascii="Calibri" w:hAnsi="Calibri"/>
          <w:sz w:val="22"/>
        </w:rPr>
        <w:t>IBSA regioniniai čempionatai:</w:t>
      </w:r>
    </w:p>
    <w:p>
      <w:pPr>
        <w:pStyle w:val="ListBullet2"/>
      </w:pPr>
      <w:r>
        <w:rPr>
          <w:rFonts w:ascii="Calibri" w:hAnsi="Calibri"/>
          <w:sz w:val="22"/>
        </w:rPr>
        <w:t>IBSA Amerikos golbolo čempionatas;</w:t>
      </w:r>
    </w:p>
    <w:p>
      <w:pPr>
        <w:pStyle w:val="ListBullet2"/>
      </w:pPr>
      <w:r>
        <w:rPr>
          <w:rFonts w:ascii="Calibri" w:hAnsi="Calibri"/>
          <w:sz w:val="22"/>
        </w:rPr>
        <w:t>IBSA Europos golbolo čempionatas;</w:t>
      </w:r>
    </w:p>
    <w:p>
      <w:pPr>
        <w:pStyle w:val="ListBullet2"/>
      </w:pPr>
      <w:r>
        <w:rPr>
          <w:rFonts w:ascii="Calibri" w:hAnsi="Calibri"/>
          <w:sz w:val="22"/>
        </w:rPr>
        <w:t>IBSA Azijos ir Ramiojo vandenyno golbolo čempionatas;</w:t>
      </w:r>
    </w:p>
    <w:p>
      <w:pPr>
        <w:pStyle w:val="ListBullet2"/>
      </w:pPr>
      <w:r>
        <w:rPr>
          <w:rFonts w:ascii="Calibri" w:hAnsi="Calibri"/>
          <w:sz w:val="22"/>
        </w:rPr>
        <w:t>IBSA Afrikos golbolo čempionatas;</w:t>
      </w:r>
    </w:p>
    <w:p>
      <w:pPr>
        <w:pStyle w:val="ListBullet"/>
      </w:pPr>
      <w:r>
        <w:rPr>
          <w:rFonts w:ascii="Calibri" w:hAnsi="Calibri"/>
          <w:sz w:val="22"/>
        </w:rPr>
        <w:t>IBSA paralimpinis golbolo atrankos turnyras.</w:t>
      </w:r>
    </w:p>
    <w:p>
      <w:r>
        <w:rPr>
          <w:rFonts w:ascii="Calibri" w:hAnsi="Calibri"/>
          <w:b/>
          <w:sz w:val="22"/>
        </w:rPr>
        <w:t>43.1.2. IBSA golbolo pasaulio čempionato atrankos turnyrai:</w:t>
      </w:r>
    </w:p>
    <w:p>
      <w:pPr>
        <w:pStyle w:val="ListBullet"/>
      </w:pPr>
      <w:r>
        <w:rPr>
          <w:rFonts w:ascii="Calibri" w:hAnsi="Calibri"/>
          <w:sz w:val="22"/>
        </w:rPr>
        <w:t>IBSA regioniniai čempionatai:</w:t>
      </w:r>
    </w:p>
    <w:p>
      <w:pPr>
        <w:pStyle w:val="ListBullet2"/>
      </w:pPr>
      <w:r>
        <w:rPr>
          <w:rFonts w:ascii="Calibri" w:hAnsi="Calibri"/>
          <w:sz w:val="22"/>
        </w:rPr>
        <w:t>IBSA Amerikos golbolo čempionatas;</w:t>
      </w:r>
    </w:p>
    <w:p>
      <w:pPr>
        <w:pStyle w:val="ListBullet2"/>
      </w:pPr>
      <w:r>
        <w:rPr>
          <w:rFonts w:ascii="Calibri" w:hAnsi="Calibri"/>
          <w:sz w:val="22"/>
        </w:rPr>
        <w:t>IBSA Europos golbolo čempionatas;</w:t>
      </w:r>
    </w:p>
    <w:p>
      <w:pPr>
        <w:pStyle w:val="ListBullet2"/>
      </w:pPr>
      <w:r>
        <w:rPr>
          <w:rFonts w:ascii="Calibri" w:hAnsi="Calibri"/>
          <w:sz w:val="22"/>
        </w:rPr>
        <w:t>IBSA Azijos ir Ramiojo vandenyno golbolo čempionatas;</w:t>
      </w:r>
    </w:p>
    <w:p>
      <w:pPr>
        <w:pStyle w:val="ListBullet2"/>
      </w:pPr>
      <w:r>
        <w:rPr>
          <w:rFonts w:ascii="Calibri" w:hAnsi="Calibri"/>
          <w:sz w:val="22"/>
        </w:rPr>
        <w:t>IBSA Afrikos golbolo čempionatas;</w:t>
      </w:r>
    </w:p>
    <w:p>
      <w:pPr>
        <w:pStyle w:val="ListBullet"/>
      </w:pPr>
      <w:r>
        <w:rPr>
          <w:rFonts w:ascii="Calibri" w:hAnsi="Calibri"/>
          <w:sz w:val="22"/>
        </w:rPr>
        <w:t>bet kuris kitas IBSA Golbolo sporto komiteto specialiai paskirtas turnyras.</w:t>
      </w:r>
    </w:p>
    <w:p>
      <w:r>
        <w:rPr>
          <w:rFonts w:ascii="Calibri" w:hAnsi="Calibri"/>
          <w:b/>
          <w:sz w:val="22"/>
        </w:rPr>
        <w:t>43.1.3. Kiti IBSA sankcionuojami turnyrai:</w:t>
      </w:r>
    </w:p>
    <w:p>
      <w:pPr>
        <w:pStyle w:val="ListBullet"/>
      </w:pPr>
      <w:r>
        <w:rPr>
          <w:rFonts w:ascii="Calibri" w:hAnsi="Calibri"/>
          <w:sz w:val="22"/>
        </w:rPr>
        <w:t>IBSA jaunimo golbolo pasaulio čempionatas;</w:t>
      </w:r>
    </w:p>
    <w:p>
      <w:pPr>
        <w:pStyle w:val="ListBullet"/>
      </w:pPr>
      <w:r>
        <w:rPr>
          <w:rFonts w:ascii="Calibri" w:hAnsi="Calibri"/>
          <w:sz w:val="22"/>
        </w:rPr>
        <w:t>IBSA jaunimo golbolo regioniniai čempionatai;</w:t>
      </w:r>
    </w:p>
    <w:p>
      <w:pPr>
        <w:pStyle w:val="ListBullet"/>
      </w:pPr>
      <w:r>
        <w:rPr>
          <w:rFonts w:ascii="Calibri" w:hAnsi="Calibri"/>
          <w:sz w:val="22"/>
        </w:rPr>
        <w:t>bet kurios kitos IBSA oficialiai sankcionuotos golbolo varžybos.</w:t>
      </w:r>
    </w:p>
    <w:p>
      <w:r>
        <w:rPr>
          <w:rFonts w:ascii="Calibri" w:hAnsi="Calibri"/>
          <w:b/>
          <w:sz w:val="22"/>
        </w:rPr>
        <w:t>43.2. Bendroji turnyrų sankcionavimo tvarka.</w:t>
      </w:r>
      <w:r>
        <w:rPr>
          <w:rFonts w:ascii="Calibri" w:hAnsi="Calibri"/>
          <w:sz w:val="22"/>
        </w:rPr>
        <w:t xml:space="preserve"> Tarptautinis golbolo turnyras, kuriame dalyvauja keturios ar daugiau valstybių, gali būti pripažintas IBSA sankcionuojamu tik užpildžius, pateikus ir patvirtinus IBSA sankcijos paraišką. Forma „IBSA Competition – Application for Approval“ skelbiama IBSA svetainės dalyje „IBSA Documents – Requests“. Mažiau nei keturių valstybių varžybos gali būti vertinamos individualiai.</w:t>
      </w:r>
    </w:p>
    <w:p>
      <w:r>
        <w:rPr>
          <w:rFonts w:ascii="Calibri" w:hAnsi="Calibri"/>
          <w:b/>
          <w:sz w:val="22"/>
        </w:rPr>
        <w:t>43.3.</w:t>
      </w:r>
      <w:r>
        <w:rPr>
          <w:rFonts w:ascii="Calibri" w:hAnsi="Calibri"/>
          <w:sz w:val="22"/>
        </w:rPr>
        <w:t xml:space="preserve"> Sankcijos paraiškai reikalinga informacija nurodyta formoje „IBSA Competition – Application for Approval“.</w:t>
      </w:r>
    </w:p>
    <w:p>
      <w:r>
        <w:rPr>
          <w:rFonts w:ascii="Calibri" w:hAnsi="Calibri"/>
          <w:b/>
          <w:sz w:val="22"/>
        </w:rPr>
        <w:t>43.4. Sankcionavimo sąlygų pažeidimo baudos.</w:t>
      </w:r>
      <w:r>
        <w:rPr>
          <w:rFonts w:ascii="Calibri" w:hAnsi="Calibri"/>
          <w:sz w:val="22"/>
        </w:rPr>
        <w:t xml:space="preserve"> Jei sankcionuotas turnyras esminiais klausimais nukrypsta nuo sutartų sąlygų, organizuojančiai valstybei gali būti skirta iki 10 000 Eur bauda ir iki penkerių metų uždrausta teikti būsimų turnyrų sankcionavimo paraiškas.</w:t>
      </w:r>
    </w:p>
    <w:p>
      <w:r>
        <w:rPr>
          <w:rFonts w:ascii="Calibri" w:hAnsi="Calibri"/>
          <w:b/>
          <w:sz w:val="22"/>
        </w:rPr>
        <w:t>43.5. Sankcionavimo sąlygų pažeidimo nagrinėjimo tvarka.</w:t>
      </w:r>
      <w:r>
        <w:rPr>
          <w:rFonts w:ascii="Calibri" w:hAnsi="Calibri"/>
          <w:sz w:val="22"/>
        </w:rPr>
        <w:t xml:space="preserve"> Turnyro techninis delegatas arba organizacija narė (pareiškėjas) per 28 dienas nuo turnyro pabaigos pateikia rašytinį skundą IBSA Golbolo sporto komiteto sekretoriui. Skunde nurodoma:</w:t>
      </w:r>
    </w:p>
    <w:p>
      <w:pPr>
        <w:pStyle w:val="ListBullet"/>
      </w:pPr>
      <w:r>
        <w:rPr>
          <w:rFonts w:ascii="Calibri" w:hAnsi="Calibri"/>
          <w:sz w:val="22"/>
        </w:rPr>
        <w:t>pareiškėjo pavadinimas arba vardas ir kontaktiniai duomenys;</w:t>
      </w:r>
    </w:p>
    <w:p>
      <w:pPr>
        <w:pStyle w:val="ListBullet"/>
      </w:pPr>
      <w:r>
        <w:rPr>
          <w:rFonts w:ascii="Calibri" w:hAnsi="Calibri"/>
          <w:sz w:val="22"/>
        </w:rPr>
        <w:t>turnyro pavadinimas ir data;</w:t>
      </w:r>
    </w:p>
    <w:p>
      <w:pPr>
        <w:pStyle w:val="ListBullet"/>
      </w:pPr>
      <w:r>
        <w:rPr>
          <w:rFonts w:ascii="Calibri" w:hAnsi="Calibri"/>
          <w:sz w:val="22"/>
        </w:rPr>
        <w:t>skundo aplinkybės;</w:t>
      </w:r>
    </w:p>
    <w:p>
      <w:pPr>
        <w:pStyle w:val="ListBullet"/>
      </w:pPr>
      <w:r>
        <w:rPr>
          <w:rFonts w:ascii="Calibri" w:hAnsi="Calibri"/>
          <w:sz w:val="22"/>
        </w:rPr>
        <w:t>skundą palaikančių asmenų ar organizacijų pavadinimai arba vardai ir kontaktiniai duomenys, jei tokių yra.</w:t>
      </w:r>
    </w:p>
    <w:p>
      <w:r>
        <w:rPr>
          <w:rFonts w:ascii="Calibri" w:hAnsi="Calibri"/>
          <w:sz w:val="22"/>
        </w:rPr>
        <w:t>Sekretorius nedelsdamas informuoja IBSA Golbolo sporto komitetą ir perduoda skundą turnyro organizaciniam komitetui (atsakovui). Atsakovas per 28 dienas nuo perdavimo raštu atsako į teiginius, nurodydamas, kaip įvykdytos sutartos esminės sąlygos, kodėl jos neįvykdytos ir kokios aplinkybės sutrukdė jas įvykdyti. Atsakymo nepateikimas laikomas prieštaravimo skundui pagrindo nebuvimu. Gavęs visą informaciją, IBSA Golbolo sporto komitetas kitame posėdyje sprendžia dėl baudų, o sekretorius apie rezultatą raštu praneša pareiškėjui ir atsakovui.</w:t>
      </w:r>
    </w:p>
    <w:p>
      <w:pPr>
        <w:pStyle w:val="Heading2"/>
      </w:pPr>
      <w:r>
        <w:rPr>
          <w:rFonts w:ascii="Calibri" w:hAnsi="Calibri"/>
          <w:sz w:val="22"/>
        </w:rPr>
        <w:t>44. Infrastruktūra ir įranga</w:t>
      </w:r>
    </w:p>
    <w:p>
      <w:r>
        <w:rPr>
          <w:rFonts w:ascii="Calibri" w:hAnsi="Calibri"/>
          <w:b/>
          <w:sz w:val="22"/>
        </w:rPr>
        <w:t>44.1. Varžybų vieta (sporto salė).</w:t>
      </w:r>
      <w:r>
        <w:rPr>
          <w:rFonts w:ascii="Calibri" w:hAnsi="Calibri"/>
          <w:sz w:val="22"/>
        </w:rPr>
        <w:t xml:space="preserve"> Ji turi būti akustiškai tinkama golbolui. Turnyro metu naudojamas oro kondicionavimas arba šildymas turi veikti tyliai ir netrukdyti rungtynėms. Reikia vengti lauko vietų, į kurias patenka aplinkos triukšmas. Komandoms turi būti skirtos bent keturios persirengimo patalpos su dušais. Taip pat būtina dopingo kontrolės patalpa, pakankamai vietos žiniasklaidos atstovams ir mišrioji žiniasklaidos zona.</w:t>
      </w:r>
    </w:p>
    <w:p>
      <w:r>
        <w:rPr>
          <w:rFonts w:ascii="Calibri" w:hAnsi="Calibri"/>
          <w:b/>
          <w:sz w:val="22"/>
        </w:rPr>
        <w:t>44.2. Golbolo žaidimo vietos matmenys.</w:t>
      </w:r>
      <w:r>
        <w:rPr>
          <w:rFonts w:ascii="Calibri" w:hAnsi="Calibri"/>
          <w:sz w:val="22"/>
        </w:rPr>
        <w:t xml:space="preserve"> Golbolo varžybų vietos grindų plotas turi būti ne mažesnis kaip 21,0 × 30,0 m, o aukštis – ne mažesnis kaip 5,0 m.</w:t>
      </w:r>
    </w:p>
    <w:p>
      <w:r>
        <w:rPr>
          <w:rFonts w:ascii="Calibri" w:hAnsi="Calibri"/>
          <w:b/>
          <w:sz w:val="22"/>
        </w:rPr>
        <w:t>44.3. Grindys</w:t>
      </w:r>
    </w:p>
    <w:p>
      <w:r>
        <w:rPr>
          <w:rFonts w:ascii="Calibri" w:hAnsi="Calibri"/>
          <w:b/>
          <w:sz w:val="22"/>
        </w:rPr>
        <w:t>44.3.1.</w:t>
      </w:r>
      <w:r>
        <w:rPr>
          <w:rFonts w:ascii="Calibri" w:hAnsi="Calibri"/>
          <w:sz w:val="22"/>
        </w:rPr>
        <w:t xml:space="preserve"> Aikštės grindų paviršius turi būti lygus ir patvirtintas techninio delegato. Paralimpinėse žaidynėse, pasaulio ir regioniniuose čempionatuose naudojamos sintetinės, medinės arba plastikinės grindys.</w:t>
      </w:r>
    </w:p>
    <w:p>
      <w:r>
        <w:rPr>
          <w:rFonts w:ascii="Calibri" w:hAnsi="Calibri"/>
          <w:b/>
          <w:sz w:val="22"/>
        </w:rPr>
        <w:t>44.3.2.</w:t>
      </w:r>
      <w:r>
        <w:rPr>
          <w:rFonts w:ascii="Calibri" w:hAnsi="Calibri"/>
          <w:sz w:val="22"/>
        </w:rPr>
        <w:t xml:space="preserve"> Organizacinis komitetas grindų tipą paskelbia likus vieniems metams iki turnyro pradžios arba kuo greičiau po turnyro paskelbimo.</w:t>
      </w:r>
    </w:p>
    <w:p>
      <w:r>
        <w:rPr>
          <w:rFonts w:ascii="Calibri" w:hAnsi="Calibri"/>
          <w:b/>
          <w:sz w:val="22"/>
        </w:rPr>
        <w:t>44.4. Žiūrovų zona.</w:t>
      </w:r>
      <w:r>
        <w:rPr>
          <w:rFonts w:ascii="Calibri" w:hAnsi="Calibri"/>
          <w:sz w:val="22"/>
        </w:rPr>
        <w:t xml:space="preserve"> Žiūrovai turi būti ne arčiau kaip 4,0 m nuo bet kurios aikštės dalies. Ši zona aiškiai pažymima taktiliniu būdu arba aptveriama, kad žiūrovai nepatektų į žaidimo vietą ar šalia jos.</w:t>
      </w:r>
    </w:p>
    <w:p>
      <w:r>
        <w:rPr>
          <w:rFonts w:ascii="Calibri" w:hAnsi="Calibri"/>
          <w:b/>
          <w:sz w:val="22"/>
        </w:rPr>
        <w:t>44.5. Įranga.</w:t>
      </w:r>
      <w:r>
        <w:rPr>
          <w:rFonts w:ascii="Calibri" w:hAnsi="Calibri"/>
          <w:sz w:val="22"/>
        </w:rPr>
        <w:t xml:space="preserve"> Visa įranga turi atitikti žaidimo taisyklėse nustatytus kriterijus ir būti patvirtinta techninio delegato.</w:t>
      </w:r>
    </w:p>
    <w:p>
      <w:r>
        <w:rPr>
          <w:rFonts w:ascii="Calibri" w:hAnsi="Calibri"/>
          <w:b/>
          <w:sz w:val="22"/>
        </w:rPr>
        <w:t>44.6. Švieslentė.</w:t>
      </w:r>
      <w:r>
        <w:rPr>
          <w:rFonts w:ascii="Calibri" w:hAnsi="Calibri"/>
          <w:sz w:val="22"/>
        </w:rPr>
        <w:t xml:space="preserve"> Žiūrovams ir treneriams turi veikti vaizdinė rezultatų rodymo sistema. Švieslentė visą laiką turi būti matoma iš komandos suolelio zonos.</w:t>
      </w:r>
    </w:p>
    <w:p>
      <w:r>
        <w:rPr>
          <w:rFonts w:ascii="Calibri" w:hAnsi="Calibri"/>
          <w:b/>
          <w:sz w:val="22"/>
        </w:rPr>
        <w:t>44.7. Laikrodžiai.</w:t>
      </w:r>
      <w:r>
        <w:rPr>
          <w:rFonts w:ascii="Calibri" w:hAnsi="Calibri"/>
          <w:sz w:val="22"/>
        </w:rPr>
        <w:t xml:space="preserve"> Naudojami trys laikrodžiai. Pirmasis – oficialus rungtynių laikrodis, visą laiką matomas iš komandos suolelio zonos. Antrasis – atsarginis, kuris nėra oficialus, kol teisėjas nenusprendžia jo tokiu paskirti. Paralimpinėse žaidynėse ir pasaulio čempionatuose pagrindinis laikrodis turi būti krepšinio tipo ir paskutinę minutę rodyti dešimtąsias sekundės dalis. Trečiasis laikrodis įrengiamas monetos metimo vietoje ir yra oficialus šios procedūros laikrodis.</w:t>
      </w:r>
    </w:p>
    <w:p>
      <w:r>
        <w:rPr>
          <w:rFonts w:ascii="Calibri" w:hAnsi="Calibri"/>
          <w:b/>
          <w:sz w:val="22"/>
        </w:rPr>
        <w:t>44.8. Transliavimas</w:t>
      </w:r>
    </w:p>
    <w:p>
      <w:r>
        <w:rPr>
          <w:rFonts w:ascii="Calibri" w:hAnsi="Calibri"/>
          <w:b/>
          <w:sz w:val="22"/>
        </w:rPr>
        <w:t>44.8.1.</w:t>
      </w:r>
      <w:r>
        <w:rPr>
          <w:rFonts w:ascii="Calibri" w:hAnsi="Calibri"/>
          <w:sz w:val="22"/>
        </w:rPr>
        <w:t xml:space="preserve"> Visi IBSA sankcionuojami turnyrai ir paralimpinės žaidynės turi būti transliuojami.</w:t>
      </w:r>
    </w:p>
    <w:p>
      <w:r>
        <w:rPr>
          <w:rFonts w:ascii="Calibri" w:hAnsi="Calibri"/>
          <w:b/>
          <w:sz w:val="22"/>
        </w:rPr>
        <w:t>44.8.2.</w:t>
      </w:r>
      <w:r>
        <w:rPr>
          <w:rFonts w:ascii="Calibri" w:hAnsi="Calibri"/>
          <w:sz w:val="22"/>
        </w:rPr>
        <w:t xml:space="preserve"> Oficiali transliacija turi turėti garsinį vaizdavimą anglų kalba.</w:t>
      </w:r>
    </w:p>
    <w:p>
      <w:r>
        <w:rPr>
          <w:rFonts w:ascii="Calibri" w:hAnsi="Calibri"/>
          <w:b/>
          <w:sz w:val="22"/>
        </w:rPr>
        <w:t>44.8.3.</w:t>
      </w:r>
      <w:r>
        <w:rPr>
          <w:rFonts w:ascii="Calibri" w:hAnsi="Calibri"/>
          <w:sz w:val="22"/>
        </w:rPr>
        <w:t xml:space="preserve"> Transliacijoje turi būti bent trys skirtingi kamerų vaizdai, pakartojimų ir konkrečių rungtynių grafikos rodymo galimybė.</w:t>
      </w:r>
    </w:p>
    <w:p>
      <w:r>
        <w:rPr>
          <w:rFonts w:ascii="Calibri" w:hAnsi="Calibri"/>
          <w:b/>
          <w:sz w:val="22"/>
        </w:rPr>
        <w:t>44.8.4.</w:t>
      </w:r>
      <w:r>
        <w:rPr>
          <w:rFonts w:ascii="Calibri" w:hAnsi="Calibri"/>
          <w:sz w:val="22"/>
        </w:rPr>
        <w:t xml:space="preserve"> Organizacinis komitetas savo transliavimo planą pateikia tvirtinti IBSA Golbolo sporto komitetui.</w:t>
      </w:r>
    </w:p>
    <w:p>
      <w:r>
        <w:rPr>
          <w:rFonts w:ascii="Calibri" w:hAnsi="Calibri"/>
          <w:b/>
          <w:sz w:val="22"/>
        </w:rPr>
        <w:t>44.8.5.</w:t>
      </w:r>
      <w:r>
        <w:rPr>
          <w:rFonts w:ascii="Calibri" w:hAnsi="Calibri"/>
          <w:sz w:val="22"/>
        </w:rPr>
        <w:t xml:space="preserve"> Siekdama užtikrinti aukštą standartą, IBSA Goalball gali turėti oficialų transliavimo partnerį. Jei organizatoriai negali užtikrinti išvardytus kriterijus atitinkančios transliacijos, jie privalo bendradarbiauti su šiuo partneriu.</w:t>
      </w:r>
    </w:p>
    <w:p>
      <w:r>
        <w:rPr>
          <w:rFonts w:ascii="Calibri" w:hAnsi="Calibri"/>
          <w:b/>
          <w:sz w:val="22"/>
        </w:rPr>
        <w:t>44.9. Oficialūs rungtynių dokumentai.</w:t>
      </w:r>
      <w:r>
        <w:rPr>
          <w:rFonts w:ascii="Calibri" w:hAnsi="Calibri"/>
          <w:sz w:val="22"/>
        </w:rPr>
        <w:t xml:space="preserve"> Naudojami šie dokumentai:</w:t>
      </w:r>
    </w:p>
    <w:p>
      <w:pPr>
        <w:pStyle w:val="ListBullet"/>
      </w:pPr>
      <w:r>
        <w:rPr>
          <w:rFonts w:ascii="Calibri" w:hAnsi="Calibri"/>
          <w:sz w:val="22"/>
        </w:rPr>
        <w:t>rungtynių protokolo informacinis lapas;</w:t>
      </w:r>
    </w:p>
    <w:p>
      <w:pPr>
        <w:pStyle w:val="ListBullet"/>
      </w:pPr>
      <w:r>
        <w:rPr>
          <w:rFonts w:ascii="Calibri" w:hAnsi="Calibri"/>
          <w:sz w:val="22"/>
        </w:rPr>
        <w:t>pagrindinio laiko rungtynių protokolas;</w:t>
      </w:r>
    </w:p>
    <w:p>
      <w:pPr>
        <w:pStyle w:val="ListBullet"/>
      </w:pPr>
      <w:r>
        <w:rPr>
          <w:rFonts w:ascii="Calibri" w:hAnsi="Calibri"/>
          <w:sz w:val="22"/>
        </w:rPr>
        <w:t>pratęsimo ir papildomų metimų rungtynių protokolas;</w:t>
      </w:r>
    </w:p>
    <w:p>
      <w:pPr>
        <w:pStyle w:val="ListBullet"/>
      </w:pPr>
      <w:r>
        <w:rPr>
          <w:rFonts w:ascii="Calibri" w:hAnsi="Calibri"/>
          <w:sz w:val="22"/>
        </w:rPr>
        <w:t>žaidėjų eiliškumo arba sudėties lapai;</w:t>
      </w:r>
    </w:p>
    <w:p>
      <w:pPr>
        <w:pStyle w:val="ListBullet"/>
      </w:pPr>
      <w:r>
        <w:rPr>
          <w:rFonts w:ascii="Calibri" w:hAnsi="Calibri"/>
          <w:sz w:val="22"/>
        </w:rPr>
        <w:t>protesto forma;</w:t>
      </w:r>
    </w:p>
    <w:p>
      <w:pPr>
        <w:pStyle w:val="ListBullet"/>
      </w:pPr>
      <w:r>
        <w:rPr>
          <w:rFonts w:ascii="Calibri" w:hAnsi="Calibri"/>
          <w:sz w:val="22"/>
        </w:rPr>
        <w:t>sprendimo dėl protesto forma.</w:t>
      </w:r>
    </w:p>
    <w:p>
      <w:r>
        <w:rPr>
          <w:rFonts w:ascii="Calibri" w:hAnsi="Calibri"/>
          <w:sz w:val="22"/>
        </w:rPr>
        <w:t>Visi dokumentai turi atitikti IBSA golbolo ITO vadove pateiktus pavyzdžius. Informacija apie vadovą skelbiama IBSA interneto svetainėje.</w:t>
      </w:r>
    </w:p>
    <w:p>
      <w:r>
        <w:rPr>
          <w:rFonts w:ascii="Calibri" w:hAnsi="Calibri"/>
          <w:b/>
          <w:sz w:val="22"/>
        </w:rPr>
        <w:t>44.10. Keitimo lentelės.</w:t>
      </w:r>
      <w:r>
        <w:rPr>
          <w:rFonts w:ascii="Calibri" w:hAnsi="Calibri"/>
          <w:sz w:val="22"/>
        </w:rPr>
        <w:t xml:space="preserve"> Pranešdamas apie keitimą treneris gali vietoj žodinės komandos arba kartu su ja naudoti keitimo lenteles, parodydamas įeinančio ir išeinančio žaidėjo numerius. Skaitmenų aukštis turi būti ne mažesnis kaip 15 cm.</w:t>
      </w:r>
    </w:p>
    <w:p>
      <w:r>
        <w:rPr>
          <w:rFonts w:ascii="Calibri" w:hAnsi="Calibri"/>
          <w:b/>
          <w:sz w:val="22"/>
        </w:rPr>
        <w:t>44.11. Kamuoliai</w:t>
      </w:r>
    </w:p>
    <w:p>
      <w:r>
        <w:rPr>
          <w:rFonts w:ascii="Calibri" w:hAnsi="Calibri"/>
          <w:b/>
          <w:sz w:val="22"/>
        </w:rPr>
        <w:t>44.11.1.</w:t>
      </w:r>
      <w:r>
        <w:rPr>
          <w:rFonts w:ascii="Calibri" w:hAnsi="Calibri"/>
          <w:sz w:val="22"/>
        </w:rPr>
        <w:t xml:space="preserve"> Organizacinis komitetas pasirenka ir paskelbia rungtynių kamuolius likus 12 mėnesių iki IBSA sankcionuojamo turnyro pradžios arba kuo greičiau po turnyro paskelbimo ir informuoja visas komandas apie naudojamą kamuolių tipą. Neįvykdžius reikalavimo, kamuolių gamintoją parenka IBSA Golbolo sporto komitetas.</w:t>
      </w:r>
    </w:p>
    <w:p>
      <w:r>
        <w:rPr>
          <w:rFonts w:ascii="Calibri" w:hAnsi="Calibri"/>
          <w:b/>
          <w:sz w:val="22"/>
        </w:rPr>
        <w:t>44.11.2.</w:t>
      </w:r>
      <w:r>
        <w:rPr>
          <w:rFonts w:ascii="Calibri" w:hAnsi="Calibri"/>
          <w:sz w:val="22"/>
        </w:rPr>
        <w:t xml:space="preserve"> Visuose IBSA pasaulio čempionatuose ir paralimpinėse žaidynėse naudojami nauji, anksčiau nenaudoti kamuoliai. Kamuolys pakeičiamas po trejų rungtynių. Varžybų ir apšilimo kamuoliai turi būti to paties gamintojo. Kituose IBSA sankcionuojamuose turnyruose sprendžia techninis delegatas.</w:t>
      </w:r>
    </w:p>
    <w:p>
      <w:r>
        <w:rPr>
          <w:rFonts w:ascii="Calibri" w:hAnsi="Calibri"/>
          <w:b/>
          <w:sz w:val="22"/>
        </w:rPr>
        <w:t>44.12. Treniruotė varžybų aikštėje.</w:t>
      </w:r>
      <w:r>
        <w:rPr>
          <w:rFonts w:ascii="Calibri" w:hAnsi="Calibri"/>
          <w:sz w:val="22"/>
        </w:rPr>
        <w:t xml:space="preserve"> Prieš paralimpines žaidynes, pasaulio ir regioninius čempionatus kiekvienai komandai turi būti suteikta bent vienos valandos treniruotė varžybų aikštėje.</w:t>
      </w:r>
    </w:p>
    <w:p>
      <w:r>
        <w:rPr>
          <w:rFonts w:ascii="Calibri" w:hAnsi="Calibri"/>
          <w:b/>
          <w:sz w:val="22"/>
        </w:rPr>
        <w:t>44.13. Golbolo akiniai.</w:t>
      </w:r>
      <w:r>
        <w:rPr>
          <w:rFonts w:ascii="Calibri" w:hAnsi="Calibri"/>
          <w:sz w:val="22"/>
        </w:rPr>
        <w:t xml:space="preserve"> Paralimpinėse žaidynėse, pasaulio ir regioniniuose čempionatuose akiniai turi būti su nosies uždengimu („snapeliu“), nepraleisti šviesos ir būti tokio dydžio bei formos, kad pro juos nebūtų galima matyti. Juos gali pateikti organizacinis komitetas, tačiau leidžiama naudoti tik techninio delegato patvirtintą įrangą. Organizatorių pateikiami akiniai komandoms turi būti perduoti prieš treniruotę treniruočių arba varžybų aikštėje.</w:t>
      </w:r>
    </w:p>
    <w:p>
      <w:r>
        <w:rPr>
          <w:rFonts w:ascii="Calibri" w:hAnsi="Calibri"/>
          <w:b/>
          <w:sz w:val="22"/>
        </w:rPr>
        <w:t>44.14. Įrangos ir infrastruktūros patvirtinimas.</w:t>
      </w:r>
      <w:r>
        <w:rPr>
          <w:rFonts w:ascii="Calibri" w:hAnsi="Calibri"/>
          <w:sz w:val="22"/>
        </w:rPr>
        <w:t xml:space="preserve"> Visą IBSA sankcionuojamame turnyre naudojamą įrangą ir žaidimo infrastruktūrą turi patvirtinti IBSA Golbolo sporto komitetas arba jo paskirtas atstovas.</w:t>
      </w:r>
    </w:p>
    <w:p>
      <w:pPr>
        <w:pStyle w:val="Heading2"/>
      </w:pPr>
      <w:r>
        <w:rPr>
          <w:rFonts w:ascii="Calibri" w:hAnsi="Calibri"/>
          <w:sz w:val="22"/>
        </w:rPr>
        <w:t>45. Apgyvendinimas</w:t>
      </w:r>
    </w:p>
    <w:p>
      <w:r>
        <w:rPr>
          <w:rFonts w:ascii="Calibri" w:hAnsi="Calibri"/>
          <w:b/>
          <w:sz w:val="22"/>
        </w:rPr>
        <w:t>45.1. Gyvenimo sąlygos.</w:t>
      </w:r>
      <w:r>
        <w:rPr>
          <w:rFonts w:ascii="Calibri" w:hAnsi="Calibri"/>
          <w:sz w:val="22"/>
        </w:rPr>
        <w:t xml:space="preserve"> Pasaulio čempionatuose ir kituose IBSA sankcionuojamuose turnyruose komandų gyvenimo sąlygos turi būti tokios, kad nedarytų neigiamo poveikio žaidėjams ir jų rezultatams. Jei įmanoma, viename kambaryje apgyvendinami ne daugiau kaip du asmenys.</w:t>
      </w:r>
    </w:p>
    <w:p>
      <w:r>
        <w:rPr>
          <w:rFonts w:ascii="Calibri" w:hAnsi="Calibri"/>
          <w:b/>
          <w:sz w:val="22"/>
        </w:rPr>
        <w:t>45.2. Maitinimas.</w:t>
      </w:r>
      <w:r>
        <w:rPr>
          <w:rFonts w:ascii="Calibri" w:hAnsi="Calibri"/>
          <w:sz w:val="22"/>
        </w:rPr>
        <w:t xml:space="preserve"> Maistas ir vanduo turi būti parinkti atsižvelgiant į žaidėjų poreikius ir sudaryti sąlygas geriausiems rezultatams. Atsižvelgiama į specialios mitybos poreikius.</w:t>
      </w:r>
    </w:p>
    <w:p>
      <w:r>
        <w:rPr>
          <w:rFonts w:ascii="Calibri" w:hAnsi="Calibri"/>
          <w:b/>
          <w:sz w:val="22"/>
        </w:rPr>
        <w:t>45.3. Transportas.</w:t>
      </w:r>
      <w:r>
        <w:rPr>
          <w:rFonts w:ascii="Calibri" w:hAnsi="Calibri"/>
          <w:sz w:val="22"/>
        </w:rPr>
        <w:t xml:space="preserve"> Apgyvendinimo vietos turi būti pagrįstai arti varžybų vietų, o tarp jų užtikrinamas tinkamas transportas.</w:t>
      </w:r>
    </w:p>
    <w:p>
      <w:pPr>
        <w:pStyle w:val="Heading2"/>
      </w:pPr>
      <w:r>
        <w:rPr>
          <w:rFonts w:ascii="Calibri" w:hAnsi="Calibri"/>
          <w:sz w:val="22"/>
        </w:rPr>
        <w:t>46. Oficialūs asmenys</w:t>
      </w:r>
    </w:p>
    <w:p>
      <w:r>
        <w:rPr>
          <w:rFonts w:ascii="Calibri" w:hAnsi="Calibri"/>
          <w:b/>
          <w:sz w:val="22"/>
        </w:rPr>
        <w:t>46.1. Teisėjai</w:t>
      </w:r>
    </w:p>
    <w:p>
      <w:r>
        <w:rPr>
          <w:rFonts w:ascii="Calibri" w:hAnsi="Calibri"/>
          <w:b/>
          <w:sz w:val="22"/>
        </w:rPr>
        <w:t>46.1.1. Reikalingas teisėjų skaičius.</w:t>
      </w:r>
      <w:r>
        <w:rPr>
          <w:rFonts w:ascii="Calibri" w:hAnsi="Calibri"/>
          <w:sz w:val="22"/>
        </w:rPr>
        <w:t xml:space="preserve"> Vienoje varžybų vietoje reikia bent aštuonių teisėjų. Paralimpinėms žaidynėms reikia bent dvylikos, nebent techninis delegatas susitartų kitaip. Regioninių ir pasaulio čempionatų poreikį techninis delegatas nustato pasitaręs su organizaciniu komitetu.</w:t>
      </w:r>
    </w:p>
    <w:p>
      <w:r>
        <w:rPr>
          <w:rFonts w:ascii="Calibri" w:hAnsi="Calibri"/>
          <w:b/>
          <w:sz w:val="22"/>
        </w:rPr>
        <w:t>46.1.2. Teisėjų paskyrimas</w:t>
      </w:r>
    </w:p>
    <w:p>
      <w:r>
        <w:rPr>
          <w:rFonts w:ascii="Calibri" w:hAnsi="Calibri"/>
          <w:b/>
          <w:sz w:val="22"/>
        </w:rPr>
        <w:t>46.1.2.1.</w:t>
      </w:r>
      <w:r>
        <w:rPr>
          <w:rFonts w:ascii="Calibri" w:hAnsi="Calibri"/>
          <w:sz w:val="22"/>
        </w:rPr>
        <w:t xml:space="preserve"> Paralimpinių žaidynių, pasaulio ir regioninių čempionatų bei kitų IBSA sankcionuojamų turnyrų teisėjus tvirtina IBSA Golbolo sporto komitetas.</w:t>
      </w:r>
    </w:p>
    <w:p>
      <w:r>
        <w:rPr>
          <w:rFonts w:ascii="Calibri" w:hAnsi="Calibri"/>
          <w:b/>
          <w:sz w:val="22"/>
        </w:rPr>
        <w:t>46.1.2.2.</w:t>
      </w:r>
      <w:r>
        <w:rPr>
          <w:rFonts w:ascii="Calibri" w:hAnsi="Calibri"/>
          <w:sz w:val="22"/>
        </w:rPr>
        <w:t xml:space="preserve"> Paralimpinėms žaidynėms arba IBSA sankcionuojamiems čempionatams galima atrinkti ne daugiau kaip du vienos valstybės teisėjus.</w:t>
      </w:r>
    </w:p>
    <w:p>
      <w:r>
        <w:rPr>
          <w:rFonts w:ascii="Calibri" w:hAnsi="Calibri"/>
          <w:b/>
          <w:sz w:val="22"/>
        </w:rPr>
        <w:t>46.1.3. Teisėjų sertifikavimas.</w:t>
      </w:r>
      <w:r>
        <w:rPr>
          <w:rFonts w:ascii="Calibri" w:hAnsi="Calibri"/>
          <w:sz w:val="22"/>
        </w:rPr>
        <w:t xml:space="preserve"> Visų IBSA sankcionuojamų turnyrų teisėjai privalo turėti tinkamo lygio IBSA sertifikatą. Paralimpinėse žaidynėse ir pasaulio čempionatuose būtinas IBSA 3 lygis, regioniniuose bei jaunimo pasaulio čempionatuose – bent IBSA 2 lygis, kituose IBSA sankcionuojamuose turnyruose – IBSA 1 lygis.</w:t>
      </w:r>
    </w:p>
    <w:p>
      <w:r>
        <w:rPr>
          <w:rFonts w:ascii="Calibri" w:hAnsi="Calibri"/>
          <w:b/>
          <w:sz w:val="22"/>
        </w:rPr>
        <w:t>46.2. Dešimties sekundžių laiko matuotojai.</w:t>
      </w:r>
      <w:r>
        <w:rPr>
          <w:rFonts w:ascii="Calibri" w:hAnsi="Calibri"/>
          <w:sz w:val="22"/>
        </w:rPr>
        <w:t xml:space="preserve"> IBSA sankcionuojamame turnyre jie privalo turėti tokio pat lygio sertifikatą, kokio tame renginyje reikalaujama iš teisėjų.</w:t>
      </w:r>
    </w:p>
    <w:p>
      <w:r>
        <w:rPr>
          <w:rFonts w:ascii="Calibri" w:hAnsi="Calibri"/>
          <w:b/>
          <w:sz w:val="22"/>
        </w:rPr>
        <w:t>46.3. Sekretoriato teisėjai.</w:t>
      </w:r>
      <w:r>
        <w:rPr>
          <w:rFonts w:ascii="Calibri" w:hAnsi="Calibri"/>
          <w:sz w:val="22"/>
        </w:rPr>
        <w:t xml:space="preserve"> Visuose IBSA sankcionuojamuose turnyruose jie privalo turėti IBSA sertifikatą.</w:t>
      </w:r>
    </w:p>
    <w:p>
      <w:r>
        <w:rPr>
          <w:rFonts w:ascii="Calibri" w:hAnsi="Calibri"/>
          <w:b/>
          <w:sz w:val="22"/>
        </w:rPr>
        <w:t>46.4. Vartų teisėjai.</w:t>
      </w:r>
      <w:r>
        <w:rPr>
          <w:rFonts w:ascii="Calibri" w:hAnsi="Calibri"/>
          <w:sz w:val="22"/>
        </w:rPr>
        <w:t xml:space="preserve"> IBSA sankcionuojamame turnyre juos atrenka ir apmoko organizacinis komitetas bei techninis delegatas. Paralimpinių žaidynių vartų teisėjai privalo turėti bent IBSA 1 lygio sertifikatą.</w:t>
      </w:r>
    </w:p>
    <w:p>
      <w:r>
        <w:rPr>
          <w:rFonts w:ascii="Calibri" w:hAnsi="Calibri"/>
          <w:b/>
          <w:sz w:val="22"/>
        </w:rPr>
        <w:t>46.5. Techninis delegatas.</w:t>
      </w:r>
      <w:r>
        <w:rPr>
          <w:rFonts w:ascii="Calibri" w:hAnsi="Calibri"/>
          <w:sz w:val="22"/>
        </w:rPr>
        <w:t xml:space="preserve"> Kiekvienam IBSA sankcionuojamam turnyrui jį paskiria IBSA Golbolo sporto komitetas arba jo pirmininkas. Turnyro metu techninis delegatas negali dirbti aikštės teisėju. Prieš renginį jis palaiko ryšį su organizatoriais ir užtikrina visų techninių klausimų standartus, įskaitant:</w:t>
      </w:r>
    </w:p>
    <w:p>
      <w:pPr>
        <w:pStyle w:val="ListBullet"/>
      </w:pPr>
      <w:r>
        <w:rPr>
          <w:rFonts w:ascii="Calibri" w:hAnsi="Calibri"/>
          <w:sz w:val="22"/>
        </w:rPr>
        <w:t>aikštę ir jos ženklinimą;</w:t>
      </w:r>
    </w:p>
    <w:p>
      <w:pPr>
        <w:pStyle w:val="ListBullet"/>
      </w:pPr>
      <w:r>
        <w:rPr>
          <w:rFonts w:ascii="Calibri" w:hAnsi="Calibri"/>
          <w:sz w:val="22"/>
        </w:rPr>
        <w:t>turnyro vykdymą ir tvarkaraštį;</w:t>
      </w:r>
    </w:p>
    <w:p>
      <w:pPr>
        <w:pStyle w:val="ListBullet"/>
      </w:pPr>
      <w:r>
        <w:rPr>
          <w:rFonts w:ascii="Calibri" w:hAnsi="Calibri"/>
          <w:sz w:val="22"/>
        </w:rPr>
        <w:t>techninių oficialių asmenų valdymą;</w:t>
      </w:r>
    </w:p>
    <w:p>
      <w:pPr>
        <w:pStyle w:val="ListBullet"/>
      </w:pPr>
      <w:r>
        <w:rPr>
          <w:rFonts w:ascii="Calibri" w:hAnsi="Calibri"/>
          <w:sz w:val="22"/>
        </w:rPr>
        <w:t>protokolų patvirtinimą ir oficialių rezultatų tvirtinimą;</w:t>
      </w:r>
    </w:p>
    <w:p>
      <w:pPr>
        <w:pStyle w:val="ListBullet"/>
      </w:pPr>
      <w:r>
        <w:rPr>
          <w:rFonts w:ascii="Calibri" w:hAnsi="Calibri"/>
          <w:sz w:val="22"/>
        </w:rPr>
        <w:t>įrangos patvirtinimą, priežiūrą ir tinkamą naudojimą;</w:t>
      </w:r>
    </w:p>
    <w:p>
      <w:pPr>
        <w:pStyle w:val="ListBullet"/>
      </w:pPr>
      <w:r>
        <w:rPr>
          <w:rFonts w:ascii="Calibri" w:hAnsi="Calibri"/>
          <w:sz w:val="22"/>
        </w:rPr>
        <w:t>protestų administravimą.</w:t>
      </w:r>
    </w:p>
    <w:p>
      <w:r>
        <w:rPr>
          <w:rFonts w:ascii="Calibri" w:hAnsi="Calibri"/>
          <w:b/>
          <w:sz w:val="22"/>
        </w:rPr>
        <w:t>46.6. Komisarai</w:t>
      </w:r>
    </w:p>
    <w:p>
      <w:r>
        <w:rPr>
          <w:rFonts w:ascii="Calibri" w:hAnsi="Calibri"/>
          <w:b/>
          <w:sz w:val="22"/>
        </w:rPr>
        <w:t>46.6.1.</w:t>
      </w:r>
      <w:r>
        <w:rPr>
          <w:rFonts w:ascii="Calibri" w:hAnsi="Calibri"/>
          <w:sz w:val="22"/>
        </w:rPr>
        <w:t xml:space="preserve"> Pagrindinės komisarų pareigos:</w:t>
      </w:r>
    </w:p>
    <w:p>
      <w:pPr>
        <w:pStyle w:val="ListBullet"/>
      </w:pPr>
      <w:r>
        <w:rPr>
          <w:rFonts w:ascii="Calibri" w:hAnsi="Calibri"/>
          <w:sz w:val="22"/>
        </w:rPr>
        <w:t>stebėti teisėjus IBSA pasaulio čempionatuose, paralimpinėse žaidynėse, regioniniuose čempionatuose ir kituose IBSA sankcionuojamuose turnyruose;</w:t>
      </w:r>
    </w:p>
    <w:p>
      <w:pPr>
        <w:pStyle w:val="ListBullet"/>
      </w:pPr>
      <w:r>
        <w:rPr>
          <w:rFonts w:ascii="Calibri" w:hAnsi="Calibri"/>
          <w:sz w:val="22"/>
        </w:rPr>
        <w:t>po grupių etapo padėti techniniam delegatui atrinkti geriausiai dirbančius teisėjus; galutinį sprendimą priima techninis delegatas;</w:t>
      </w:r>
    </w:p>
    <w:p>
      <w:pPr>
        <w:pStyle w:val="ListBullet"/>
      </w:pPr>
      <w:r>
        <w:rPr>
          <w:rFonts w:ascii="Calibri" w:hAnsi="Calibri"/>
          <w:sz w:val="22"/>
        </w:rPr>
        <w:t>pirmininkauti protestų komisijai;</w:t>
      </w:r>
    </w:p>
    <w:p>
      <w:pPr>
        <w:pStyle w:val="ListBullet"/>
      </w:pPr>
      <w:r>
        <w:rPr>
          <w:rFonts w:ascii="Calibri" w:hAnsi="Calibri"/>
          <w:sz w:val="22"/>
        </w:rPr>
        <w:t>padėti techniniam delegatui svarbiausiuose turnyruose nedelsiant teikti teisėjams grįžtamąjį ryšį ir taip didinti jų sprendimų nuoseklumą.</w:t>
      </w:r>
    </w:p>
    <w:p>
      <w:r>
        <w:rPr>
          <w:rFonts w:ascii="Calibri" w:hAnsi="Calibri"/>
          <w:b/>
          <w:sz w:val="22"/>
        </w:rPr>
        <w:t>46.6.2.</w:t>
      </w:r>
      <w:r>
        <w:rPr>
          <w:rFonts w:ascii="Calibri" w:hAnsi="Calibri"/>
          <w:sz w:val="22"/>
        </w:rPr>
        <w:t xml:space="preserve"> Tarptautinio paralimpinio komiteto ir IBSA sankcionuojamoms varžyboms IBSA Golbolo sporto komitetas skiria bent du komisarus.</w:t>
      </w:r>
    </w:p>
    <w:p>
      <w:r>
        <w:rPr>
          <w:rFonts w:ascii="Calibri" w:hAnsi="Calibri"/>
          <w:b/>
          <w:sz w:val="22"/>
        </w:rPr>
        <w:t>46.6.3.</w:t>
      </w:r>
      <w:r>
        <w:rPr>
          <w:rFonts w:ascii="Calibri" w:hAnsi="Calibri"/>
          <w:sz w:val="22"/>
        </w:rPr>
        <w:t xml:space="preserve"> Turnyro komisaru dirbantis asmuo tame pačiame turnyre negali teisėjauti.</w:t>
      </w:r>
    </w:p>
    <w:p>
      <w:pPr>
        <w:pStyle w:val="Heading2"/>
      </w:pPr>
      <w:r>
        <w:rPr>
          <w:rFonts w:ascii="Calibri" w:hAnsi="Calibri"/>
          <w:sz w:val="22"/>
        </w:rPr>
        <w:t>47. Organizavimas (ne paralimpiniai turnyrai)</w:t>
      </w:r>
    </w:p>
    <w:p>
      <w:r>
        <w:rPr>
          <w:rFonts w:ascii="Calibri" w:hAnsi="Calibri"/>
          <w:b/>
          <w:sz w:val="22"/>
        </w:rPr>
        <w:t>47.1. Dalyviai.</w:t>
      </w:r>
      <w:r>
        <w:rPr>
          <w:rFonts w:ascii="Calibri" w:hAnsi="Calibri"/>
          <w:sz w:val="22"/>
        </w:rPr>
        <w:t xml:space="preserve"> Dalyviai atsako už:</w:t>
      </w:r>
    </w:p>
    <w:p>
      <w:pPr>
        <w:pStyle w:val="ListBullet"/>
      </w:pPr>
      <w:r>
        <w:rPr>
          <w:rFonts w:ascii="Calibri" w:hAnsi="Calibri"/>
          <w:sz w:val="22"/>
        </w:rPr>
        <w:t>delegacijos kelionę į varžybų vietą ir iš jos;</w:t>
      </w:r>
    </w:p>
    <w:p>
      <w:pPr>
        <w:pStyle w:val="ListBullet"/>
      </w:pPr>
      <w:r>
        <w:rPr>
          <w:rFonts w:ascii="Calibri" w:hAnsi="Calibri"/>
          <w:sz w:val="22"/>
        </w:rPr>
        <w:t>visas sveikatos ir nelaimingų atsitikimų draudimo išlaidas, nes organizatorius neatsako už nelaimingus atsitikimus ar ligas, išskyrus jo aplaidumo sukeltus atvejus;</w:t>
      </w:r>
    </w:p>
    <w:p>
      <w:pPr>
        <w:pStyle w:val="ListBullet"/>
      </w:pPr>
      <w:r>
        <w:rPr>
          <w:rFonts w:ascii="Calibri" w:hAnsi="Calibri"/>
          <w:sz w:val="22"/>
        </w:rPr>
        <w:t>dalyvio mokesčio sumokėjimą organizaciniam komitetui iki varžybų.</w:t>
      </w:r>
    </w:p>
    <w:p>
      <w:r>
        <w:rPr>
          <w:rFonts w:ascii="Calibri" w:hAnsi="Calibri"/>
          <w:b/>
          <w:sz w:val="22"/>
        </w:rPr>
        <w:t>47.2. Organizatoriai.</w:t>
      </w:r>
      <w:r>
        <w:rPr>
          <w:rFonts w:ascii="Calibri" w:hAnsi="Calibri"/>
          <w:sz w:val="22"/>
        </w:rPr>
        <w:t xml:space="preserve"> Organizatoriai atsako už:</w:t>
      </w:r>
    </w:p>
    <w:p>
      <w:pPr>
        <w:pStyle w:val="ListBullet"/>
      </w:pPr>
      <w:r>
        <w:rPr>
          <w:rFonts w:ascii="Calibri" w:hAnsi="Calibri"/>
          <w:sz w:val="22"/>
        </w:rPr>
        <w:t>varžyboms reikalingą infrastruktūrą ir įrangą pagal 45 nuostatą;</w:t>
      </w:r>
    </w:p>
    <w:p>
      <w:pPr>
        <w:pStyle w:val="ListBullet"/>
      </w:pPr>
      <w:r>
        <w:rPr>
          <w:rFonts w:ascii="Calibri" w:hAnsi="Calibri"/>
          <w:sz w:val="22"/>
        </w:rPr>
        <w:t>komandų apgyvendinimą;</w:t>
      </w:r>
    </w:p>
    <w:p>
      <w:pPr>
        <w:pStyle w:val="ListBullet"/>
      </w:pPr>
      <w:r>
        <w:rPr>
          <w:rFonts w:ascii="Calibri" w:hAnsi="Calibri"/>
          <w:sz w:val="22"/>
        </w:rPr>
        <w:t>komandų ir oficialių asmenų maitinimą varžybų metu;</w:t>
      </w:r>
    </w:p>
    <w:p>
      <w:pPr>
        <w:pStyle w:val="ListBullet"/>
      </w:pPr>
      <w:r>
        <w:rPr>
          <w:rFonts w:ascii="Calibri" w:hAnsi="Calibri"/>
          <w:sz w:val="22"/>
        </w:rPr>
        <w:t>teisėjų, techninio delegato, klasifikatorių, komisarų ir būtinų ITO maitinimo, apgyvendinimo, kelionių bei dienpinigių išlaidas;</w:t>
      </w:r>
    </w:p>
    <w:p>
      <w:pPr>
        <w:pStyle w:val="ListBullet"/>
      </w:pPr>
      <w:r>
        <w:rPr>
          <w:rFonts w:ascii="Calibri" w:hAnsi="Calibri"/>
          <w:sz w:val="22"/>
        </w:rPr>
        <w:t>medalius ir apdovanojimus;</w:t>
      </w:r>
    </w:p>
    <w:p>
      <w:pPr>
        <w:pStyle w:val="ListBullet"/>
      </w:pPr>
      <w:r>
        <w:rPr>
          <w:rFonts w:ascii="Calibri" w:hAnsi="Calibri"/>
          <w:sz w:val="22"/>
        </w:rPr>
        <w:t>laiku suteikiamus, mokslu pagrįstus medicinos išteklius, įskaitant apmokytą personalą ir būtiną įrangą, gyvybei ar galūnėms pavojingoms būklėms veiksmingai valdyti.</w:t>
      </w:r>
    </w:p>
    <w:p>
      <w:pPr>
        <w:pStyle w:val="Heading2"/>
      </w:pPr>
      <w:r>
        <w:rPr>
          <w:rFonts w:ascii="Calibri" w:hAnsi="Calibri"/>
          <w:sz w:val="22"/>
        </w:rPr>
        <w:t>48. Atrankos standartai</w:t>
      </w:r>
    </w:p>
    <w:p>
      <w:r>
        <w:rPr>
          <w:rFonts w:ascii="Calibri" w:hAnsi="Calibri"/>
          <w:sz w:val="22"/>
        </w:rPr>
        <w:t>Toliau nustatyti kriterijai taikomi paralimpinėms žaidynėms ir pasaulio čempionatams. Keturi varžybų regionai: Afrika, Amerika, Azija ir Ramiojo vandenyno regionas bei Europa. Regioniniai čempionatai vyksta metais tarp paralimpinių žaidynių ir pasaulio čempionatų. Juos tvirtina IBSA Golbolo sporto komitetas, o dalyvauti turi būti leidžiama visoms regiono valstybėms narėms.</w:t>
      </w:r>
    </w:p>
    <w:p>
      <w:r>
        <w:rPr>
          <w:rFonts w:ascii="Calibri" w:hAnsi="Calibri"/>
          <w:sz w:val="22"/>
        </w:rPr>
        <w:t>Regioniniu čempionatu pripažįstamame turnyre turi dalyvauti bent keturios valstybės, o IBSA Golbolo sporto komitetas skiria techninį delegatą ir komisarą. Teisėjai privalo turėti bent IBSA 2 lygio kvalifikaciją. IBSA regioninis arba priešparalimpinis regioninis čempionatas turėtų vykti likus 6–18 mėnesių iki pasaulio čempionato arba paralimpinių žaidynių.</w:t>
      </w:r>
    </w:p>
    <w:p>
      <w:r>
        <w:rPr>
          <w:rFonts w:ascii="Calibri" w:hAnsi="Calibri"/>
          <w:sz w:val="22"/>
        </w:rPr>
        <w:t>Jei prieš paralimpines žaidynes neįvyksta priešparalimpinis regioninis čempionatas, regionas netenka paralimpinės atrankos vietos ir ji skiriama IBSA paralimpiniam golbolo reitingo turnyrui. Jei prieš pasaulio čempionatą neįvyksta regioninis čempionatas, visos regiono atrankos vietos perduodamos santykio formulei.</w:t>
      </w:r>
    </w:p>
    <w:p>
      <w:r>
        <w:rPr>
          <w:rFonts w:ascii="Calibri" w:hAnsi="Calibri"/>
          <w:b/>
          <w:sz w:val="22"/>
        </w:rPr>
        <w:t>48.1. Pasaulio čempionatas</w:t>
      </w:r>
    </w:p>
    <w:p>
      <w:r>
        <w:rPr>
          <w:rFonts w:ascii="Calibri" w:hAnsi="Calibri"/>
          <w:b/>
          <w:sz w:val="22"/>
        </w:rPr>
        <w:t>48.1.1. Vyrų ir moterų varžybų atrankos kriterijai.</w:t>
      </w:r>
      <w:r>
        <w:rPr>
          <w:rFonts w:ascii="Calibri" w:hAnsi="Calibri"/>
          <w:sz w:val="22"/>
        </w:rPr>
        <w:t xml:space="preserve"> Pasaulio čempionate dalyvauja ne daugiau kaip 16 vyrų ir 16 moterų komandų. Vietos skiriamos:</w:t>
      </w:r>
    </w:p>
    <w:p>
      <w:pPr>
        <w:pStyle w:val="ListBullet"/>
      </w:pPr>
      <w:r>
        <w:rPr>
          <w:rFonts w:ascii="Calibri" w:hAnsi="Calibri"/>
          <w:sz w:val="22"/>
        </w:rPr>
        <w:t>šeimininkų valstybei;</w:t>
      </w:r>
    </w:p>
    <w:p>
      <w:pPr>
        <w:pStyle w:val="ListBullet"/>
      </w:pPr>
      <w:r>
        <w:rPr>
          <w:rFonts w:ascii="Calibri" w:hAnsi="Calibri"/>
          <w:sz w:val="22"/>
        </w:rPr>
        <w:t>paralimpinių žaidynių 1–3 vietų laimėtojoms;</w:t>
      </w:r>
    </w:p>
    <w:p>
      <w:pPr>
        <w:pStyle w:val="ListBullet"/>
      </w:pPr>
      <w:r>
        <w:rPr>
          <w:rFonts w:ascii="Calibri" w:hAnsi="Calibri"/>
          <w:sz w:val="22"/>
        </w:rPr>
        <w:t>keturioms regionų čempionėms;</w:t>
      </w:r>
    </w:p>
    <w:p>
      <w:pPr>
        <w:pStyle w:val="ListBullet"/>
      </w:pPr>
      <w:r>
        <w:rPr>
          <w:rFonts w:ascii="Calibri" w:hAnsi="Calibri"/>
          <w:sz w:val="22"/>
        </w:rPr>
        <w:t>keturioms regionų vicečempionėms;</w:t>
      </w:r>
    </w:p>
    <w:p>
      <w:pPr>
        <w:pStyle w:val="ListBullet"/>
      </w:pPr>
      <w:r>
        <w:rPr>
          <w:rFonts w:ascii="Calibri" w:hAnsi="Calibri"/>
          <w:sz w:val="22"/>
        </w:rPr>
        <w:t>keturioms komandoms pagal santykio formulę.</w:t>
      </w:r>
    </w:p>
    <w:p>
      <w:r>
        <w:rPr>
          <w:rFonts w:ascii="Calibri" w:hAnsi="Calibri"/>
          <w:sz w:val="22"/>
        </w:rPr>
        <w:t>Šiame procese regiono čempione laikoma aukščiausią vietą regione užėmusi dar nekvalifikuota komanda, jei šeimininkų arba paralimpinių medalininkų komanda jau kvalifikuota.</w:t>
      </w:r>
    </w:p>
    <w:p>
      <w:r>
        <w:rPr>
          <w:rFonts w:ascii="Calibri" w:hAnsi="Calibri"/>
          <w:b/>
          <w:sz w:val="22"/>
        </w:rPr>
        <w:t>48.2. Santykio formulė.</w:t>
      </w:r>
      <w:r>
        <w:rPr>
          <w:rFonts w:ascii="Calibri" w:hAnsi="Calibri"/>
          <w:sz w:val="22"/>
        </w:rPr>
        <w:t xml:space="preserve"> Kiekviena pagal formulę skiriama vieta tenka didžiausią rodiklį turinčio regiono komandai. Rodiklis apskaičiuojamas bendrą dviejų ankstesnių regioninių čempionatų valstybių dalyvių skaičių padalijus iš to regiono jau kvalifikuotų pasaulio čempionato komandų skaičiaus. Skaičiavimas kartojamas kiekvienai vietai.</w:t>
      </w:r>
    </w:p>
    <w:p>
      <w:r>
        <w:rPr>
          <w:rFonts w:ascii="Calibri" w:hAnsi="Calibri"/>
          <w:sz w:val="22"/>
        </w:rPr>
        <w:t>Vienas regionas gali gauti ne daugiau kaip pusę pagal formulę skiriamų vietų; pasiekęs šią ribą jis toliau nebeskaičiuojamas. Jei skiriamos keturios vietos, regionas gali gauti daugiausia dvi; jei penkios – daugiausia tris. Dviejų ar daugiau regionų rodikliams sutapus, vieta tenka aukščiausiai IBSA pasaulio reitinge esančiai susietų regionų komandai.</w:t>
      </w:r>
    </w:p>
    <w:p>
      <w:r>
        <w:rPr>
          <w:rFonts w:ascii="Calibri" w:hAnsi="Calibri"/>
          <w:b/>
          <w:sz w:val="22"/>
        </w:rPr>
        <w:t>48.3. Paralimpinės žaidynės.</w:t>
      </w:r>
      <w:r>
        <w:rPr>
          <w:rFonts w:ascii="Calibri" w:hAnsi="Calibri"/>
          <w:sz w:val="22"/>
        </w:rPr>
        <w:t xml:space="preserve"> Atrankos kriterijai ir tvarka paskelbiami likus bent 24 mėnesiams iki žaidynių.</w:t>
      </w:r>
    </w:p>
    <w:p>
      <w:r>
        <w:rPr>
          <w:rFonts w:ascii="Calibri" w:hAnsi="Calibri"/>
          <w:b/>
          <w:sz w:val="22"/>
        </w:rPr>
        <w:t>48.3.1. Vyrų varžybų atrankos kriterijai.</w:t>
      </w:r>
      <w:r>
        <w:rPr>
          <w:rFonts w:ascii="Calibri" w:hAnsi="Calibri"/>
          <w:sz w:val="22"/>
        </w:rPr>
        <w:t xml:space="preserve"> Dalyvauja ne daugiau kaip aštuonios vyrų komandos:</w:t>
      </w:r>
    </w:p>
    <w:p>
      <w:pPr>
        <w:pStyle w:val="ListBullet"/>
      </w:pPr>
      <w:r>
        <w:rPr>
          <w:rFonts w:ascii="Calibri" w:hAnsi="Calibri"/>
          <w:sz w:val="22"/>
        </w:rPr>
        <w:t>šeimininkų valstybė;</w:t>
      </w:r>
    </w:p>
    <w:p>
      <w:pPr>
        <w:pStyle w:val="ListBullet"/>
      </w:pPr>
      <w:r>
        <w:rPr>
          <w:rFonts w:ascii="Calibri" w:hAnsi="Calibri"/>
          <w:sz w:val="22"/>
        </w:rPr>
        <w:t>pasaulio čempionato 1 ir 2 vietų laimėtojos;</w:t>
      </w:r>
    </w:p>
    <w:p>
      <w:pPr>
        <w:pStyle w:val="ListBullet"/>
      </w:pPr>
      <w:r>
        <w:rPr>
          <w:rFonts w:ascii="Calibri" w:hAnsi="Calibri"/>
          <w:sz w:val="22"/>
        </w:rPr>
        <w:t>keturios priešparalimpinių regioninių čempionatų regionų čempionės;</w:t>
      </w:r>
    </w:p>
    <w:p>
      <w:pPr>
        <w:pStyle w:val="ListBullet"/>
      </w:pPr>
      <w:r>
        <w:rPr>
          <w:rFonts w:ascii="Calibri" w:hAnsi="Calibri"/>
          <w:sz w:val="22"/>
        </w:rPr>
        <w:t>IBSA paralimpinio golbolo reitingo turnyro 1 vietos laimėtoja.</w:t>
      </w:r>
    </w:p>
    <w:p>
      <w:r>
        <w:rPr>
          <w:rFonts w:ascii="Calibri" w:hAnsi="Calibri"/>
          <w:sz w:val="22"/>
        </w:rPr>
        <w:t>Regiono čempione laikoma aukščiausią vietą regione užėmusi dar nekvalifikuota komanda, jei šeimininkų ar pasaulio čempionato medalininkų komanda jau kvalifikuota. Reitingo turnyro vieta tenka aukščiausiai jame esančiai dar nekvalifikuotai komandai, atmetus šeimininkus ir pasaulio arba regiono čempionate kvalifikuotas komandas.</w:t>
      </w:r>
    </w:p>
    <w:p>
      <w:r>
        <w:rPr>
          <w:rFonts w:ascii="Calibri" w:hAnsi="Calibri"/>
          <w:b/>
          <w:sz w:val="22"/>
        </w:rPr>
        <w:t>48.3.2. Moterų varžybų atrankos kriterijai.</w:t>
      </w:r>
      <w:r>
        <w:rPr>
          <w:rFonts w:ascii="Calibri" w:hAnsi="Calibri"/>
          <w:sz w:val="22"/>
        </w:rPr>
        <w:t xml:space="preserve"> Dalyvauja ne daugiau kaip aštuonios moterų komandos; vietos skiriamos pagal tokią pačią schemą kaip 48.3.1: šeimininkėms, dviem geriausioms pasaulio čempionato komandoms, keturioms regionų čempionėms ir reitingo turnyro laimėtojai. Regiono čempionės ir reitingo turnyro vieta apibrėžiamos taip pat kaip vyrų varžybose.</w:t>
      </w:r>
    </w:p>
    <w:p>
      <w:r>
        <w:rPr>
          <w:rFonts w:ascii="Calibri" w:hAnsi="Calibri"/>
          <w:b/>
          <w:sz w:val="22"/>
        </w:rPr>
        <w:t>48.4. IBSA paralimpinis golbolo reitingo turnyras</w:t>
      </w:r>
    </w:p>
    <w:p>
      <w:r>
        <w:rPr>
          <w:rFonts w:ascii="Calibri" w:hAnsi="Calibri"/>
          <w:b/>
          <w:sz w:val="22"/>
        </w:rPr>
        <w:t>48.4.1.</w:t>
      </w:r>
      <w:r>
        <w:rPr>
          <w:rFonts w:ascii="Calibri" w:hAnsi="Calibri"/>
          <w:sz w:val="22"/>
        </w:rPr>
        <w:t xml:space="preserve"> Turnyras gali vykti prieš visus priešparalimpinius regioninius čempionatus. Pastarieji turėtų būti užbaigti likus 6–18 mėnesių iki paralimpinių žaidynių.</w:t>
      </w:r>
    </w:p>
    <w:p>
      <w:r>
        <w:rPr>
          <w:rFonts w:ascii="Calibri" w:hAnsi="Calibri"/>
          <w:b/>
          <w:sz w:val="22"/>
        </w:rPr>
        <w:t>48.4.2.</w:t>
      </w:r>
      <w:r>
        <w:rPr>
          <w:rFonts w:ascii="Calibri" w:hAnsi="Calibri"/>
          <w:sz w:val="22"/>
        </w:rPr>
        <w:t xml:space="preserve"> IBSA Golbolo sporto komitetas dalyvauti atrenka ne daugiau kaip 16 vyrų ir 16 moterų komandų. Atranka grindžiama rezultatais ankstesniame IBSA golbolo pasaulio čempionate, o po jų – komandų vietomis regioniniuose atrankos turnyruose prieš tą pasaulio čempionatą.</w:t>
      </w:r>
    </w:p>
    <w:p>
      <w:r>
        <w:rPr>
          <w:rFonts w:ascii="Calibri" w:hAnsi="Calibri"/>
          <w:b/>
          <w:sz w:val="22"/>
        </w:rPr>
        <w:t>48.4.3.</w:t>
      </w:r>
      <w:r>
        <w:rPr>
          <w:rFonts w:ascii="Calibri" w:hAnsi="Calibri"/>
          <w:sz w:val="22"/>
        </w:rPr>
        <w:t xml:space="preserve"> Vyrų ir moterų vietos regionams paskirstomos vienodai:</w:t>
      </w:r>
    </w:p>
    <w:tbl>
      <w:tblPr>
        <w:tblStyle w:val="TableGrid"/>
        <w:tblW w:type="dxa" w:w="9360"/>
        <w:jc w:val="left"/>
        <w:tblLayout w:type="fixed"/>
        <w:tblLook w:firstColumn="1" w:firstRow="1" w:lastColumn="0" w:lastRow="0" w:noHBand="0" w:noVBand="1" w:val="04A0"/>
        <w:tblInd w:w="120" w:type="dxa"/>
      </w:tblPr>
      <w:tblGrid>
        <w:gridCol w:w="3000"/>
        <w:gridCol w:w="6360"/>
      </w:tblGrid>
      <w:tr>
        <w:tc>
          <w:tcPr>
            <w:tcW w:type="dxa" w:w="3000"/>
            <w:shd w:fill="E8EEF5"/>
            <w:tcMar>
              <w:top w:w="80" w:type="dxa"/>
              <w:start w:w="120" w:type="dxa"/>
              <w:bottom w:w="80" w:type="dxa"/>
              <w:end w:w="120" w:type="dxa"/>
            </w:tcMar>
            <w:vAlign w:val="center"/>
          </w:tcPr>
          <w:p>
            <w:pPr>
              <w:spacing w:after="40"/>
            </w:pPr>
            <w:r>
              <w:rPr>
                <w:rFonts w:ascii="Calibri" w:hAnsi="Calibri"/>
                <w:b/>
                <w:sz w:val="22"/>
              </w:rPr>
              <w:t>Vieta</w:t>
            </w:r>
          </w:p>
        </w:tc>
        <w:tc>
          <w:tcPr>
            <w:tcW w:type="dxa" w:w="6360"/>
            <w:shd w:fill="E8EEF5"/>
            <w:tcMar>
              <w:top w:w="80" w:type="dxa"/>
              <w:start w:w="120" w:type="dxa"/>
              <w:bottom w:w="80" w:type="dxa"/>
              <w:end w:w="120" w:type="dxa"/>
            </w:tcMar>
            <w:vAlign w:val="center"/>
          </w:tcPr>
          <w:p>
            <w:pPr>
              <w:spacing w:after="40"/>
            </w:pPr>
            <w:r>
              <w:rPr>
                <w:rFonts w:ascii="Calibri" w:hAnsi="Calibri"/>
                <w:b/>
                <w:sz w:val="22"/>
              </w:rPr>
              <w:t>Regionas ir pozicija</w:t>
            </w:r>
          </w:p>
        </w:tc>
      </w:tr>
      <w:tr>
        <w:tc>
          <w:tcPr>
            <w:tcW w:type="dxa" w:w="3000"/>
            <w:tcMar>
              <w:top w:w="80" w:type="dxa"/>
              <w:start w:w="120" w:type="dxa"/>
              <w:bottom w:w="80" w:type="dxa"/>
              <w:end w:w="120" w:type="dxa"/>
            </w:tcMar>
            <w:vAlign w:val="center"/>
          </w:tcPr>
          <w:p>
            <w:pPr>
              <w:spacing w:after="40"/>
            </w:pPr>
            <w:r>
              <w:rPr>
                <w:rFonts w:ascii="Calibri" w:hAnsi="Calibri"/>
                <w:b w:val="0"/>
                <w:sz w:val="22"/>
              </w:rPr>
              <w:t>1</w:t>
            </w:r>
          </w:p>
        </w:tc>
        <w:tc>
          <w:tcPr>
            <w:tcW w:type="dxa" w:w="6360"/>
            <w:tcMar>
              <w:top w:w="80" w:type="dxa"/>
              <w:start w:w="120" w:type="dxa"/>
              <w:bottom w:w="80" w:type="dxa"/>
              <w:end w:w="120" w:type="dxa"/>
            </w:tcMar>
            <w:vAlign w:val="center"/>
          </w:tcPr>
          <w:p>
            <w:pPr>
              <w:spacing w:after="40"/>
            </w:pPr>
            <w:r>
              <w:rPr>
                <w:rFonts w:ascii="Calibri" w:hAnsi="Calibri"/>
                <w:b w:val="0"/>
                <w:sz w:val="22"/>
              </w:rPr>
              <w:t>Šeimininkų valstybė</w:t>
            </w:r>
          </w:p>
        </w:tc>
      </w:tr>
      <w:tr>
        <w:tc>
          <w:tcPr>
            <w:tcW w:type="dxa" w:w="3000"/>
            <w:tcMar>
              <w:top w:w="80" w:type="dxa"/>
              <w:start w:w="120" w:type="dxa"/>
              <w:bottom w:w="80" w:type="dxa"/>
              <w:end w:w="120" w:type="dxa"/>
            </w:tcMar>
            <w:vAlign w:val="center"/>
          </w:tcPr>
          <w:p>
            <w:pPr>
              <w:spacing w:after="40"/>
            </w:pPr>
            <w:r>
              <w:rPr>
                <w:rFonts w:ascii="Calibri" w:hAnsi="Calibri"/>
                <w:b w:val="0"/>
                <w:sz w:val="22"/>
              </w:rPr>
              <w:t>2–6</w:t>
            </w:r>
          </w:p>
        </w:tc>
        <w:tc>
          <w:tcPr>
            <w:tcW w:type="dxa" w:w="6360"/>
            <w:tcMar>
              <w:top w:w="80" w:type="dxa"/>
              <w:start w:w="120" w:type="dxa"/>
              <w:bottom w:w="80" w:type="dxa"/>
              <w:end w:w="120" w:type="dxa"/>
            </w:tcMar>
            <w:vAlign w:val="center"/>
          </w:tcPr>
          <w:p>
            <w:pPr>
              <w:spacing w:after="40"/>
            </w:pPr>
            <w:r>
              <w:rPr>
                <w:rFonts w:ascii="Calibri" w:hAnsi="Calibri"/>
                <w:b w:val="0"/>
                <w:sz w:val="22"/>
              </w:rPr>
              <w:t>Europa: 1–5 vietos</w:t>
            </w:r>
          </w:p>
        </w:tc>
      </w:tr>
      <w:tr>
        <w:tc>
          <w:tcPr>
            <w:tcW w:type="dxa" w:w="3000"/>
            <w:tcMar>
              <w:top w:w="80" w:type="dxa"/>
              <w:start w:w="120" w:type="dxa"/>
              <w:bottom w:w="80" w:type="dxa"/>
              <w:end w:w="120" w:type="dxa"/>
            </w:tcMar>
            <w:vAlign w:val="center"/>
          </w:tcPr>
          <w:p>
            <w:pPr>
              <w:spacing w:after="40"/>
            </w:pPr>
            <w:r>
              <w:rPr>
                <w:rFonts w:ascii="Calibri" w:hAnsi="Calibri"/>
                <w:b w:val="0"/>
                <w:sz w:val="22"/>
              </w:rPr>
              <w:t>7–10</w:t>
            </w:r>
          </w:p>
        </w:tc>
        <w:tc>
          <w:tcPr>
            <w:tcW w:type="dxa" w:w="6360"/>
            <w:tcMar>
              <w:top w:w="80" w:type="dxa"/>
              <w:start w:w="120" w:type="dxa"/>
              <w:bottom w:w="80" w:type="dxa"/>
              <w:end w:w="120" w:type="dxa"/>
            </w:tcMar>
            <w:vAlign w:val="center"/>
          </w:tcPr>
          <w:p>
            <w:pPr>
              <w:spacing w:after="40"/>
            </w:pPr>
            <w:r>
              <w:rPr>
                <w:rFonts w:ascii="Calibri" w:hAnsi="Calibri"/>
                <w:b w:val="0"/>
                <w:sz w:val="22"/>
              </w:rPr>
              <w:t>Azija ir Ramiojo vandenyno regionas: 1–4 vietos</w:t>
            </w:r>
          </w:p>
        </w:tc>
      </w:tr>
      <w:tr>
        <w:tc>
          <w:tcPr>
            <w:tcW w:type="dxa" w:w="3000"/>
            <w:tcMar>
              <w:top w:w="80" w:type="dxa"/>
              <w:start w:w="120" w:type="dxa"/>
              <w:bottom w:w="80" w:type="dxa"/>
              <w:end w:w="120" w:type="dxa"/>
            </w:tcMar>
            <w:vAlign w:val="center"/>
          </w:tcPr>
          <w:p>
            <w:pPr>
              <w:spacing w:after="40"/>
            </w:pPr>
            <w:r>
              <w:rPr>
                <w:rFonts w:ascii="Calibri" w:hAnsi="Calibri"/>
                <w:b w:val="0"/>
                <w:sz w:val="22"/>
              </w:rPr>
              <w:t>11–14</w:t>
            </w:r>
          </w:p>
        </w:tc>
        <w:tc>
          <w:tcPr>
            <w:tcW w:type="dxa" w:w="6360"/>
            <w:tcMar>
              <w:top w:w="80" w:type="dxa"/>
              <w:start w:w="120" w:type="dxa"/>
              <w:bottom w:w="80" w:type="dxa"/>
              <w:end w:w="120" w:type="dxa"/>
            </w:tcMar>
            <w:vAlign w:val="center"/>
          </w:tcPr>
          <w:p>
            <w:pPr>
              <w:spacing w:after="40"/>
            </w:pPr>
            <w:r>
              <w:rPr>
                <w:rFonts w:ascii="Calibri" w:hAnsi="Calibri"/>
                <w:b w:val="0"/>
                <w:sz w:val="22"/>
              </w:rPr>
              <w:t>Amerika: 1–4 vietos</w:t>
            </w:r>
          </w:p>
        </w:tc>
      </w:tr>
      <w:tr>
        <w:tc>
          <w:tcPr>
            <w:tcW w:type="dxa" w:w="3000"/>
            <w:tcMar>
              <w:top w:w="80" w:type="dxa"/>
              <w:start w:w="120" w:type="dxa"/>
              <w:bottom w:w="80" w:type="dxa"/>
              <w:end w:w="120" w:type="dxa"/>
            </w:tcMar>
            <w:vAlign w:val="center"/>
          </w:tcPr>
          <w:p>
            <w:pPr>
              <w:spacing w:after="40"/>
            </w:pPr>
            <w:r>
              <w:rPr>
                <w:rFonts w:ascii="Calibri" w:hAnsi="Calibri"/>
                <w:b w:val="0"/>
                <w:sz w:val="22"/>
              </w:rPr>
              <w:t>15–16</w:t>
            </w:r>
          </w:p>
        </w:tc>
        <w:tc>
          <w:tcPr>
            <w:tcW w:type="dxa" w:w="6360"/>
            <w:tcMar>
              <w:top w:w="80" w:type="dxa"/>
              <w:start w:w="120" w:type="dxa"/>
              <w:bottom w:w="80" w:type="dxa"/>
              <w:end w:w="120" w:type="dxa"/>
            </w:tcMar>
            <w:vAlign w:val="center"/>
          </w:tcPr>
          <w:p>
            <w:pPr>
              <w:spacing w:after="40"/>
            </w:pPr>
            <w:r>
              <w:rPr>
                <w:rFonts w:ascii="Calibri" w:hAnsi="Calibri"/>
                <w:b w:val="0"/>
                <w:sz w:val="22"/>
              </w:rPr>
              <w:t>Afrika: 1–2 vietos</w:t>
            </w:r>
          </w:p>
        </w:tc>
      </w:tr>
    </w:tbl>
    <w:p>
      <w:r>
        <w:rPr>
          <w:rFonts w:ascii="Calibri" w:hAnsi="Calibri"/>
          <w:sz w:val="22"/>
        </w:rPr>
        <w:t>Regionui neužpildžius kvotos, laisvas vietas IBSA Golbolo sporto komitetas skiria pagal tai, kada organizacinis komitetas gavo komandų paraiškas. Sąrašas kas mėnesį nuo pirmosios iki paskutinės paraiškos skelbiamas IBSA Goalball svetainėje. Regionas negali gauti daugiau kaip pusės turnyro vietų.</w:t>
      </w:r>
    </w:p>
    <w:p>
      <w:r>
        <w:rPr>
          <w:rFonts w:ascii="Calibri" w:hAnsi="Calibri"/>
          <w:b/>
          <w:sz w:val="22"/>
        </w:rPr>
        <w:t>48.4.4.</w:t>
      </w:r>
      <w:r>
        <w:rPr>
          <w:rFonts w:ascii="Calibri" w:hAnsi="Calibri"/>
          <w:sz w:val="22"/>
        </w:rPr>
        <w:t xml:space="preserve"> Turnyrui pasibaigus komandos reitinguojamos pagal galutinę vietą. Į ketvirtfinalius ir kovas dėl medalių nepatekusios 9–16 vietų komandos rikiuojamos pagal grupių etapo taškus ir įvarčių skirtumą, taikant 49 nuostatą. Ketvirtfinalių pralaimėtojos dėl 5–8 vietų poruojamos pagal grupių etapo taškus ir įvarčių skirtumą (1–4, 2–3): laimėtojos žaidžia dėl 5–6, pralaimėtojos – dėl 7–8 vietų.</w:t>
      </w:r>
    </w:p>
    <w:p>
      <w:r>
        <w:rPr>
          <w:rFonts w:ascii="Calibri" w:hAnsi="Calibri"/>
          <w:b/>
          <w:sz w:val="22"/>
        </w:rPr>
        <w:t>48.4.5.</w:t>
      </w:r>
      <w:r>
        <w:rPr>
          <w:rFonts w:ascii="Calibri" w:hAnsi="Calibri"/>
          <w:sz w:val="22"/>
        </w:rPr>
        <w:t xml:space="preserve"> Pasibaigus visiems priešparalimpiniams atrankos turnyrams, likusios paralimpinių žaidynių vietos pagal galutinę eilę skiriamos IBSA paralimpinio golbolo reitingo turnyro komandoms.</w:t>
      </w:r>
    </w:p>
    <w:p>
      <w:r>
        <w:rPr>
          <w:rFonts w:ascii="Calibri" w:hAnsi="Calibri"/>
          <w:b/>
          <w:sz w:val="22"/>
        </w:rPr>
        <w:t>48.4.6.</w:t>
      </w:r>
      <w:r>
        <w:rPr>
          <w:rFonts w:ascii="Calibri" w:hAnsi="Calibri"/>
          <w:sz w:val="22"/>
        </w:rPr>
        <w:t xml:space="preserve"> Į vietą pretenduoja tik dar nekvalifikuotos komandos. Kvalifikacija per regioninius čempionatus, skirtus patekti į pasaulio čempionatą, šiuo atveju nelaikoma paralimpine kvalifikacija.</w:t>
      </w:r>
    </w:p>
    <w:p>
      <w:pPr>
        <w:pStyle w:val="Heading2"/>
      </w:pPr>
      <w:r>
        <w:rPr>
          <w:rFonts w:ascii="Calibri" w:hAnsi="Calibri"/>
          <w:sz w:val="22"/>
        </w:rPr>
        <w:t>49. Turnyrų vykdymas</w:t>
      </w:r>
    </w:p>
    <w:p>
      <w:r>
        <w:rPr>
          <w:rFonts w:ascii="Calibri" w:hAnsi="Calibri"/>
          <w:b/>
          <w:sz w:val="22"/>
        </w:rPr>
        <w:t>49.1. Burtų traukimas ir komandų skirstymas pagal pajėgumą.</w:t>
      </w:r>
      <w:r>
        <w:rPr>
          <w:rFonts w:ascii="Calibri" w:hAnsi="Calibri"/>
          <w:sz w:val="22"/>
        </w:rPr>
        <w:t xml:space="preserve"> Pasaulio čempionatuose ir paralimpinėse žaidynėse komandos skirstomos į grupes po keturias. Siekiant vienodo grupių pajėgumo taikomos toliau nustatytos schemos.</w:t>
      </w:r>
    </w:p>
    <w:p>
      <w:r>
        <w:rPr>
          <w:rFonts w:ascii="Calibri" w:hAnsi="Calibri"/>
          <w:b/>
          <w:sz w:val="22"/>
        </w:rPr>
        <w:t>49.1.1. Paralimpinės žaidynės.</w:t>
      </w:r>
      <w:r>
        <w:rPr>
          <w:rFonts w:ascii="Calibri" w:hAnsi="Calibri"/>
          <w:sz w:val="22"/>
        </w:rPr>
        <w:t xml:space="preserve"> Automatiškai neskirstomos komandos – visos, išskyrus ankstesnio pasaulio čempionato 1 ir 2 vietas – į grupes paskirstomos dviem burtais. Pirmuose dalyvauja keturių regioninių turnyrų komandos, antruose – reitingo turnyro komandos ir šeimininkų valstybė.</w:t>
      </w:r>
    </w:p>
    <w:p>
      <w:pPr>
        <w:pStyle w:val="ListBullet"/>
      </w:pPr>
      <w:r>
        <w:rPr>
          <w:rFonts w:ascii="Calibri" w:hAnsi="Calibri"/>
          <w:sz w:val="22"/>
        </w:rPr>
        <w:t>A grupė: ankstesnio pasaulio čempionato 1 vieta, pirma ir trečia ištrauktos regionų čempionės, pirma ištraukta reitingo turnyro arba šeimininkų komanda.</w:t>
      </w:r>
    </w:p>
    <w:p>
      <w:pPr>
        <w:pStyle w:val="ListBullet"/>
      </w:pPr>
      <w:r>
        <w:rPr>
          <w:rFonts w:ascii="Calibri" w:hAnsi="Calibri"/>
          <w:sz w:val="22"/>
        </w:rPr>
        <w:t>B grupė: ankstesnio pasaulio čempionato 2 vieta, antra ir ketvirta ištrauktos regionų čempionės, antra ištraukta reitingo turnyro arba šeimininkų komanda.</w:t>
      </w:r>
    </w:p>
    <w:p>
      <w:r>
        <w:rPr>
          <w:rFonts w:ascii="Calibri" w:hAnsi="Calibri"/>
          <w:b/>
          <w:sz w:val="22"/>
        </w:rPr>
        <w:t>49.1.2. Pasaulio čempionatas.</w:t>
      </w:r>
      <w:r>
        <w:rPr>
          <w:rFonts w:ascii="Calibri" w:hAnsi="Calibri"/>
          <w:sz w:val="22"/>
        </w:rPr>
        <w:t xml:space="preserve"> 16 komandų burtais paskirstomos į keturias grupes po keturias. Krepšeliai:</w:t>
      </w:r>
    </w:p>
    <w:p>
      <w:pPr>
        <w:pStyle w:val="ListBullet"/>
      </w:pPr>
      <w:r>
        <w:rPr>
          <w:rFonts w:ascii="Calibri" w:hAnsi="Calibri"/>
          <w:sz w:val="22"/>
        </w:rPr>
        <w:t>1: šeimininkų valstybė ir paralimpinių žaidynių medalininkės;</w:t>
      </w:r>
    </w:p>
    <w:p>
      <w:pPr>
        <w:pStyle w:val="ListBullet"/>
      </w:pPr>
      <w:r>
        <w:rPr>
          <w:rFonts w:ascii="Calibri" w:hAnsi="Calibri"/>
          <w:sz w:val="22"/>
        </w:rPr>
        <w:t>2: keturios regionų čempionės;</w:t>
      </w:r>
    </w:p>
    <w:p>
      <w:pPr>
        <w:pStyle w:val="ListBullet"/>
      </w:pPr>
      <w:r>
        <w:rPr>
          <w:rFonts w:ascii="Calibri" w:hAnsi="Calibri"/>
          <w:sz w:val="22"/>
        </w:rPr>
        <w:t>3: keturios regionų vicečempionės;</w:t>
      </w:r>
    </w:p>
    <w:p>
      <w:pPr>
        <w:pStyle w:val="ListBullet"/>
      </w:pPr>
      <w:r>
        <w:rPr>
          <w:rFonts w:ascii="Calibri" w:hAnsi="Calibri"/>
          <w:sz w:val="22"/>
        </w:rPr>
        <w:t>4: pagal santykio formulę kvalifikuotos komandos;</w:t>
      </w:r>
    </w:p>
    <w:p>
      <w:pPr>
        <w:pStyle w:val="ListBullet"/>
      </w:pPr>
      <w:r>
        <w:rPr>
          <w:rFonts w:ascii="Calibri" w:hAnsi="Calibri"/>
          <w:sz w:val="22"/>
        </w:rPr>
        <w:t>5–8: atitinkamai grupių pirmos, antros, trečios ir ketvirtos pozicijos.</w:t>
      </w:r>
    </w:p>
    <w:p>
      <w:r>
        <w:rPr>
          <w:rFonts w:ascii="Calibri" w:hAnsi="Calibri"/>
          <w:sz w:val="22"/>
        </w:rPr>
        <w:t>Vyrų grupės žymimos A–D, moterų – E–H; 5–8 krepšelių pozicijų raidės moterų turnyre atitinkamai keičiamos. Kiekvienoje grupėje turi būti po vieną komandą iš kiekvieno 1–4 krepšelio. To paties regiono čempionė ir vicečempionė negali patekti į tą pačią grupę.</w:t>
      </w:r>
    </w:p>
    <w:p>
      <w:r>
        <w:rPr>
          <w:rFonts w:ascii="Calibri" w:hAnsi="Calibri"/>
          <w:sz w:val="22"/>
        </w:rPr>
        <w:t>Burtai vykdomi keturiais etapais. Pirmiausia iš 1 krepšelio traukiama komanda ir iš 5 krepšelio – jos vieta; taip kartojama visoms komandoms. 2 krepšelio komandos analogiškai gauna 6 krepšelio pozicijas, 3 krepšelio – 7 krepšelio, 4 krepšelio – 8 krepšelio. Jei regiono vicečempionė patektų į tos pačios regiono čempionės grupę, tai pozicijai traukiama kita komanda, o pirmosios pozicija traukiama iš naujo. Ta pati sistema taikoma vyrams ir moterims.</w:t>
      </w:r>
    </w:p>
    <w:p>
      <w:r>
        <w:rPr>
          <w:rFonts w:ascii="Calibri" w:hAnsi="Calibri"/>
          <w:b/>
          <w:sz w:val="22"/>
        </w:rPr>
        <w:t>49.1.3. Dviguba kvalifikacija.</w:t>
      </w:r>
      <w:r>
        <w:rPr>
          <w:rFonts w:ascii="Calibri" w:hAnsi="Calibri"/>
          <w:sz w:val="22"/>
        </w:rPr>
        <w:t xml:space="preserve"> Jei valstybė į paralimpines žaidynes ar pasaulio čempionatą kvalifikuojasi ir kaip šeimininkė, ir per ankstesnių žaidynių ar pasaulio čempionato atrankos vietą, šeimininkės vieta perduodama atitinkamai paralimpiniam reitingo turnyrui arba pasaulio čempionato santykio formulei.</w:t>
      </w:r>
    </w:p>
    <w:p>
      <w:r>
        <w:rPr>
          <w:rFonts w:ascii="Calibri" w:hAnsi="Calibri"/>
          <w:b/>
          <w:sz w:val="22"/>
        </w:rPr>
        <w:t>49.2. Turnyro tipas.</w:t>
      </w:r>
      <w:r>
        <w:rPr>
          <w:rFonts w:ascii="Calibri" w:hAnsi="Calibri"/>
          <w:sz w:val="22"/>
        </w:rPr>
        <w:t xml:space="preserve"> Visuose tarptautiniuose čempionatuose, išskyrus pasaulio čempionatą ir paralimpines žaidynes, taikomi šie formatai.</w:t>
      </w:r>
    </w:p>
    <w:p>
      <w:r>
        <w:rPr>
          <w:rFonts w:ascii="Calibri" w:hAnsi="Calibri"/>
          <w:b/>
          <w:sz w:val="22"/>
        </w:rPr>
        <w:t>49.2.1.</w:t>
      </w:r>
      <w:r>
        <w:rPr>
          <w:rFonts w:ascii="Calibri" w:hAnsi="Calibri"/>
          <w:sz w:val="22"/>
        </w:rPr>
        <w:t xml:space="preserve"> Dalyvaujant ne daugiau kaip keturioms komandoms žaidžiamas dviejų ratų turnyras. Pirma komanda patenka tiesiai į finalą, antra ir trečia žaidžia vieno pralaimėjimo pusfinalį, o jo laimėtoja finale susitinka su pirma komanda.</w:t>
      </w:r>
    </w:p>
    <w:p>
      <w:r>
        <w:rPr>
          <w:rFonts w:ascii="Calibri" w:hAnsi="Calibri"/>
          <w:b/>
          <w:sz w:val="22"/>
        </w:rPr>
        <w:t>49.2.2.</w:t>
      </w:r>
      <w:r>
        <w:rPr>
          <w:rFonts w:ascii="Calibri" w:hAnsi="Calibri"/>
          <w:sz w:val="22"/>
        </w:rPr>
        <w:t xml:space="preserve"> Dalyvaujant 5–7 komandoms žaidžiamas vieno rato turnyras. Keturios geriausios patenka į vieno pralaimėjimo etapą: pusfinaliuose žaidžia 1–4 ir 2–3 vietos; laimėtojos žaidžia dėl čempionės titulo, pralaimėtojos – dėl 3 ir 4 vietų.</w:t>
      </w:r>
    </w:p>
    <w:p>
      <w:r>
        <w:rPr>
          <w:rFonts w:ascii="Calibri" w:hAnsi="Calibri"/>
          <w:b/>
          <w:sz w:val="22"/>
        </w:rPr>
        <w:t>49.2.3.</w:t>
      </w:r>
      <w:r>
        <w:rPr>
          <w:rFonts w:ascii="Calibri" w:hAnsi="Calibri"/>
          <w:sz w:val="22"/>
        </w:rPr>
        <w:t xml:space="preserve"> Dalyvaujant 8–16 komandų jos po lygiai skirstomos į dvi vieno rato grupes. Jei komandų skaičius nelyginis, grupės skiriasi ne daugiau kaip viena komanda; lyginant nelygias grupes, didesnės grupės paskutinės komandos rungtynių rezultatai pašalinami prieš taikant 49 nuostatos reitingavimą.</w:t>
      </w:r>
    </w:p>
    <w:p>
      <w:r>
        <w:rPr>
          <w:rFonts w:ascii="Calibri" w:hAnsi="Calibri"/>
          <w:sz w:val="22"/>
        </w:rPr>
        <w:t>Po grupių etapo keturios geriausios kiekvienos grupės komandos žaidžia vieno pralaimėjimo etapą: A1–B4 ir B2–A3 nugalėtojos patenka į pirmą pusfinalį, B1–A4 ir A2–B3 nugalėtojos – į antrą. Pralaimėtojos iškrenta, nebent numatytos vietų nustatymo rungtynės. Pusfinalių laimėtojos žaidžia dėl titulo, pralaimėtojos – dėl 3–4 vietų.</w:t>
      </w:r>
    </w:p>
    <w:p>
      <w:r>
        <w:rPr>
          <w:rFonts w:ascii="Calibri" w:hAnsi="Calibri"/>
          <w:b/>
          <w:sz w:val="22"/>
        </w:rPr>
        <w:t>49.2.4.</w:t>
      </w:r>
      <w:r>
        <w:rPr>
          <w:rFonts w:ascii="Calibri" w:hAnsi="Calibri"/>
          <w:sz w:val="22"/>
        </w:rPr>
        <w:t xml:space="preserve"> Dalyvaujant daugiau kaip 16 komandų jos skirstomos į vienu metu vykstančius divizionus, kuriuose yra bent po aštuonias komandas, taikant iškritimo ir pakilimo sistemą. Divizione žaidžiamas vienas ratas arba komandos skirstomos į dvi lygias grupes. Vieno rato atveju keturios geriausios žaidžia finalinį etapą pagal 49.2.2; dviejų grupių atveju taikomi atitinkami 49.6 ir 49.7 principai. Likusios komandos rikiuojamos pagal taškus, lygybę sprendžiant pagal 49 nuostatą. Nelygių grupių atveju prieš palyginimą pašalinami didesnės grupės paskutinės komandos rezultatai.</w:t>
      </w:r>
    </w:p>
    <w:p>
      <w:r>
        <w:rPr>
          <w:rFonts w:ascii="Calibri" w:hAnsi="Calibri"/>
          <w:sz w:val="22"/>
        </w:rPr>
        <w:t>Grupės vadinamos A, B, C, o A yra aukščiausia. Pasibaigus varžyboms trys paskutinės kiekvienos grupės komandos iškrenta į žemesnę grupę, o trys geriausios pakyla į aukštesnę.</w:t>
      </w:r>
    </w:p>
    <w:p>
      <w:r>
        <w:rPr>
          <w:rFonts w:ascii="Calibri" w:hAnsi="Calibri"/>
          <w:b/>
          <w:sz w:val="22"/>
        </w:rPr>
        <w:t>49.3. Komandų skirstymas regioniniuose čempionatuose.</w:t>
      </w:r>
      <w:r>
        <w:rPr>
          <w:rFonts w:ascii="Calibri" w:hAnsi="Calibri"/>
          <w:sz w:val="22"/>
        </w:rPr>
        <w:t xml:space="preserve"> Pajėgumas nustatomas pagal ankstesnio regioninio čempionato vietas. Nedalyvavusios komandos dedamos sąrašo gale; jei jų daugiau nei viena, tarpusavio eilė nustatoma burtais. Pavyzdinė schema:</w:t>
      </w:r>
    </w:p>
    <w:p>
      <w:pPr>
        <w:pStyle w:val="ListBullet"/>
      </w:pPr>
      <w:r>
        <w:rPr>
          <w:rFonts w:ascii="Calibri" w:hAnsi="Calibri"/>
          <w:sz w:val="22"/>
        </w:rPr>
        <w:t>A grupė: ankstesnio čempionato 1, 4 ir 5 vietos, pirma ir trečia ištrauktos nedalyvavusios komandos;</w:t>
      </w:r>
    </w:p>
    <w:p>
      <w:pPr>
        <w:pStyle w:val="ListBullet"/>
      </w:pPr>
      <w:r>
        <w:rPr>
          <w:rFonts w:ascii="Calibri" w:hAnsi="Calibri"/>
          <w:sz w:val="22"/>
        </w:rPr>
        <w:t>B grupė: ankstesnio čempionato 2, 3, 6 ir 7 vietos, antra ištraukta nedalyvavusi komanda.</w:t>
      </w:r>
    </w:p>
    <w:p>
      <w:r>
        <w:rPr>
          <w:rFonts w:ascii="Calibri" w:hAnsi="Calibri"/>
          <w:b/>
          <w:sz w:val="22"/>
        </w:rPr>
        <w:t>49.4. Vyrų pasaulio čempionato formatas.</w:t>
      </w:r>
      <w:r>
        <w:rPr>
          <w:rFonts w:ascii="Calibri" w:hAnsi="Calibri"/>
          <w:sz w:val="22"/>
        </w:rPr>
        <w:t xml:space="preserve"> Komandos po keturias paskirstomos į keturias vieno rato grupes. Dvi geriausios žaidžia atkrintamąsias: A1–B2 ir B1–A2 nugalėtojos patenka į pirmą pusfinalį, C1–D2 ir D1–C2 – į antrą. Ketvirtfinalių pralaimėtojos žaidžia dėl 5–8 vietų; pusfinalių laimėtojos – dėl titulo, pralaimėtojos – dėl 3–4 vietų. Vietų nustatymo rungtynių laimėtojos žaidžia dėl 5–6, pralaimėtojos – dėl 7–8 vietų. Grupėse 3–4 vietas užėmusios komandos tokia pačia sistema žaidžia dėl 9–16 vietų.</w:t>
      </w:r>
    </w:p>
    <w:p>
      <w:r>
        <w:rPr>
          <w:rFonts w:ascii="Calibri" w:hAnsi="Calibri"/>
          <w:b/>
          <w:sz w:val="22"/>
        </w:rPr>
        <w:t>49.5. Moterų pasaulio čempionato formatas.</w:t>
      </w:r>
      <w:r>
        <w:rPr>
          <w:rFonts w:ascii="Calibri" w:hAnsi="Calibri"/>
          <w:sz w:val="22"/>
        </w:rPr>
        <w:t xml:space="preserve"> Taikoma tokia pati sistema kaip vyrams, naudojant E–H grupes: E1–F2 ir F1–E2 sudaro pirmą pusfinalio šaką, G1–H2 ir H1–G2 – antrą. Analogiškai nustatomos 1–8 ir 9–16 vietos.</w:t>
      </w:r>
    </w:p>
    <w:p>
      <w:r>
        <w:rPr>
          <w:rFonts w:ascii="Calibri" w:hAnsi="Calibri"/>
          <w:b/>
          <w:sz w:val="22"/>
        </w:rPr>
        <w:t>49.6. Vyrų paralimpinių varžybų formatas.</w:t>
      </w:r>
      <w:r>
        <w:rPr>
          <w:rFonts w:ascii="Calibri" w:hAnsi="Calibri"/>
          <w:sz w:val="22"/>
        </w:rPr>
        <w:t xml:space="preserve"> Komandos po lygiai paskirstomos į dvi vieno rato grupes. Visos keturios geriausios žaidžia ketvirtfinaliuose: A1–B4 ir B2–A3 nugalėtojos patenka į pirmą pusfinalį, B1–A4 ir A2–B3 – į antrą. Dvi aukščiau po grupių etapo reitinguotos ketvirtfinalių pralaimėtojos žaidžia dėl 5–6, dvi žemiau – dėl 7–8 vietų; reitinguojama pagal IBSA 50 nuostatą. Pusfinalių laimėtojos žaidžia dėl titulo, pralaimėtojos – dėl 3–4 vietų.</w:t>
      </w:r>
    </w:p>
    <w:p>
      <w:r>
        <w:rPr>
          <w:rFonts w:ascii="Calibri" w:hAnsi="Calibri"/>
          <w:b/>
          <w:sz w:val="22"/>
        </w:rPr>
        <w:t>49.7. Moterų paralimpinių varžybų formatas.</w:t>
      </w:r>
      <w:r>
        <w:rPr>
          <w:rFonts w:ascii="Calibri" w:hAnsi="Calibri"/>
          <w:sz w:val="22"/>
        </w:rPr>
        <w:t xml:space="preserve"> Taikoma tokia pati sistema su C ir D grupėmis: ketvirtfinaliai C1–D4, D2–C3, D1–C4 ir C2–D3. Dvi aukščiau reitinguotos pralaimėtojos žaidžia dėl 5–6, dvi žemiau – dėl 7–8 vietų pagal IBSA 50 nuostatą. Pusfinalių laimėtojos žaidžia dėl titulo, pralaimėtojos – dėl 3–4 vietų.</w:t>
      </w:r>
    </w:p>
    <w:p>
      <w:pPr>
        <w:pStyle w:val="Heading2"/>
      </w:pPr>
      <w:r>
        <w:rPr>
          <w:rFonts w:ascii="Calibri" w:hAnsi="Calibri"/>
          <w:sz w:val="22"/>
        </w:rPr>
        <w:t>50. Komandų reitingavimas vieno rato turnyre</w:t>
      </w:r>
    </w:p>
    <w:p>
      <w:r>
        <w:rPr>
          <w:rFonts w:ascii="Calibri" w:hAnsi="Calibri"/>
          <w:sz w:val="22"/>
        </w:rPr>
        <w:t>Galutinė komandų vieta pasibaigus vieno rato turnyrui nustatoma pagal surinktus taškus: už pergalę skiriami 3 taškai, už lygiąsias – 1, už pralaimėjimą – 0. Dviem ar daugiau komandų surinkus po lygiai taškų, nuosekliai taikomi šie kriterijai:</w:t>
      </w:r>
    </w:p>
    <w:p>
      <w:pPr>
        <w:pStyle w:val="ListNumber"/>
      </w:pPr>
      <w:r>
        <w:rPr>
          <w:rFonts w:ascii="Calibri" w:hAnsi="Calibri"/>
          <w:b/>
          <w:sz w:val="22"/>
        </w:rPr>
        <w:t>Įvarčių skirtumas visame grupių etape:</w:t>
      </w:r>
      <w:r>
        <w:rPr>
          <w:rFonts w:ascii="Calibri" w:hAnsi="Calibri"/>
          <w:sz w:val="22"/>
        </w:rPr>
        <w:t xml:space="preserve"> iš pelnytų įvarčių atimami praleisti; aukščiau reitinguojama didesnį skirtumą turinti komanda.</w:t>
      </w:r>
    </w:p>
    <w:p>
      <w:pPr>
        <w:pStyle w:val="ListNumber"/>
      </w:pPr>
      <w:r>
        <w:rPr>
          <w:rFonts w:ascii="Calibri" w:hAnsi="Calibri"/>
          <w:b/>
          <w:sz w:val="22"/>
        </w:rPr>
        <w:t>Praleisti įvarčiai:</w:t>
      </w:r>
      <w:r>
        <w:rPr>
          <w:rFonts w:ascii="Calibri" w:hAnsi="Calibri"/>
          <w:sz w:val="22"/>
        </w:rPr>
        <w:t xml:space="preserve"> aukščiau reitinguojama visose varžybose mažiau įvarčių praleidusi komanda.</w:t>
      </w:r>
    </w:p>
    <w:p>
      <w:pPr>
        <w:pStyle w:val="ListNumber"/>
      </w:pPr>
      <w:r>
        <w:rPr>
          <w:rFonts w:ascii="Calibri" w:hAnsi="Calibri"/>
          <w:b/>
          <w:sz w:val="22"/>
        </w:rPr>
        <w:t>Įvarčių skirtumas tarpusavio rungtynėse:</w:t>
      </w:r>
      <w:r>
        <w:rPr>
          <w:rFonts w:ascii="Calibri" w:hAnsi="Calibri"/>
          <w:sz w:val="22"/>
        </w:rPr>
        <w:t xml:space="preserve"> pirmasis kriterijus pakartojamas įtraukiant tik lyginamų komandų tarpusavio rungtynes.</w:t>
      </w:r>
    </w:p>
    <w:p>
      <w:r>
        <w:rPr>
          <w:rFonts w:ascii="Calibri" w:hAnsi="Calibri"/>
          <w:sz w:val="22"/>
        </w:rPr>
        <w:t>Kai lyginamos daugiau kaip dvi komandos, kriterijai iš eilės taikomi, kol atskiriama viena komanda. Likusioms komandoms procedūra kaskart pradedama nuo pirmojo kriterijaus ir kartojama, kol nustatomos visos vietos. Jei lygybė išlieka, traukiami burtai.</w:t>
      </w:r>
    </w:p>
    <w:p>
      <w:pPr>
        <w:pStyle w:val="Heading2"/>
      </w:pPr>
      <w:r>
        <w:rPr>
          <w:rFonts w:ascii="Calibri" w:hAnsi="Calibri"/>
          <w:sz w:val="22"/>
        </w:rPr>
        <w:t>51. Techniniai pralaimėjimai</w:t>
      </w:r>
    </w:p>
    <w:p>
      <w:r>
        <w:rPr>
          <w:rFonts w:ascii="Calibri" w:hAnsi="Calibri"/>
          <w:sz w:val="22"/>
        </w:rPr>
        <w:t>Techninis pralaimėjimas įskaitomas kaip pralaimėjimas, o laimėjusi komanda gauna 3 taškus ir 10 įvarčių. Jei komanda dėl bet kokios priežasties pasitraukia iš varžybų, visos komandos gauna po 3 pergalės taškus ir 0 įvarčių skirtumą, o ankstesni pasitraukusios komandos rezultatai automatiškai anuliuojami. Techninis delegatas arba jo padėjėjas gali netaikyti šios taisyklės dėl nuo komandos nepriklausančių arba organizacinio komiteto sukeltų aplinkybių. Rungtynes gali būti leista perkelti.</w:t>
      </w:r>
    </w:p>
    <w:p>
      <w:pPr>
        <w:pStyle w:val="Heading2"/>
      </w:pPr>
      <w:r>
        <w:rPr>
          <w:rFonts w:ascii="Calibri" w:hAnsi="Calibri"/>
          <w:sz w:val="22"/>
        </w:rPr>
        <w:t>52. Didžiausias vienos komandos rungtynių skaičius per dieną</w:t>
      </w:r>
    </w:p>
    <w:p>
      <w:r>
        <w:rPr>
          <w:rFonts w:ascii="Calibri" w:hAnsi="Calibri"/>
          <w:sz w:val="22"/>
        </w:rPr>
        <w:t>Viena komanda per dieną negali žaisti daugiau kaip dvejų rungtynių.</w:t>
      </w:r>
    </w:p>
    <w:p>
      <w:pPr>
        <w:pStyle w:val="Heading2"/>
      </w:pPr>
      <w:r>
        <w:rPr>
          <w:rFonts w:ascii="Calibri" w:hAnsi="Calibri"/>
          <w:sz w:val="22"/>
        </w:rPr>
        <w:t>53. Šiurkštus nusižengimas</w:t>
      </w:r>
    </w:p>
    <w:p>
      <w:r>
        <w:rPr>
          <w:rFonts w:ascii="Calibri" w:hAnsi="Calibri"/>
          <w:b/>
          <w:sz w:val="22"/>
        </w:rPr>
        <w:t>53.1.</w:t>
      </w:r>
      <w:r>
        <w:rPr>
          <w:rFonts w:ascii="Calibri" w:hAnsi="Calibri"/>
          <w:sz w:val="22"/>
        </w:rPr>
        <w:t xml:space="preserve"> Bet kuri komanda, žaidėjas, treneris, personalo ar delegacijos narys, teisėjas arba kitas oficialus asmuo, prieš turnyrą ar jo metu besielgiantis priešingai žaidimo dvasiai, turi būti tinkamai nubaustas. Tokiu elgesiu gali būti laikoma, be kita ko:</w:t>
      </w:r>
    </w:p>
    <w:p>
      <w:pPr>
        <w:pStyle w:val="ListBullet"/>
      </w:pPr>
      <w:r>
        <w:rPr>
          <w:rFonts w:ascii="Calibri" w:hAnsi="Calibri"/>
          <w:sz w:val="22"/>
        </w:rPr>
        <w:t>nesportiškas elgesys;</w:t>
      </w:r>
    </w:p>
    <w:p>
      <w:pPr>
        <w:pStyle w:val="ListBullet"/>
      </w:pPr>
      <w:r>
        <w:rPr>
          <w:rFonts w:ascii="Calibri" w:hAnsi="Calibri"/>
          <w:sz w:val="22"/>
        </w:rPr>
        <w:t>nesutikimas žodžiais arba veiksmais;</w:t>
      </w:r>
    </w:p>
    <w:p>
      <w:pPr>
        <w:pStyle w:val="ListBullet"/>
      </w:pPr>
      <w:r>
        <w:rPr>
          <w:rFonts w:ascii="Calibri" w:hAnsi="Calibri"/>
          <w:sz w:val="22"/>
        </w:rPr>
        <w:t>nuolatinis žaidimo taisyklių pažeidinėjimas;</w:t>
      </w:r>
    </w:p>
    <w:p>
      <w:pPr>
        <w:pStyle w:val="ListBullet"/>
      </w:pPr>
      <w:r>
        <w:rPr>
          <w:rFonts w:ascii="Calibri" w:hAnsi="Calibri"/>
          <w:sz w:val="22"/>
        </w:rPr>
        <w:t>smurtinis elgesys;</w:t>
      </w:r>
    </w:p>
    <w:p>
      <w:pPr>
        <w:pStyle w:val="ListBullet"/>
      </w:pPr>
      <w:r>
        <w:rPr>
          <w:rFonts w:ascii="Calibri" w:hAnsi="Calibri"/>
          <w:sz w:val="22"/>
        </w:rPr>
        <w:t>spjovimas į kitą asmenį;</w:t>
      </w:r>
    </w:p>
    <w:p>
      <w:pPr>
        <w:pStyle w:val="ListBullet"/>
      </w:pPr>
      <w:r>
        <w:rPr>
          <w:rFonts w:ascii="Calibri" w:hAnsi="Calibri"/>
          <w:sz w:val="22"/>
        </w:rPr>
        <w:t>įžeidžianti, žeminanti ar užgauli kalba ir (arba) gestai;</w:t>
      </w:r>
    </w:p>
    <w:p>
      <w:pPr>
        <w:pStyle w:val="ListBullet"/>
      </w:pPr>
      <w:r>
        <w:rPr>
          <w:rFonts w:ascii="Calibri" w:hAnsi="Calibri"/>
          <w:sz w:val="22"/>
        </w:rPr>
        <w:t>neatvykimas į rungtynes be pateisinamos priežasties.</w:t>
      </w:r>
    </w:p>
    <w:p>
      <w:r>
        <w:rPr>
          <w:rFonts w:ascii="Calibri" w:hAnsi="Calibri"/>
          <w:b/>
          <w:sz w:val="22"/>
        </w:rPr>
        <w:t>53.2.</w:t>
      </w:r>
      <w:r>
        <w:rPr>
          <w:rFonts w:ascii="Calibri" w:hAnsi="Calibri"/>
          <w:sz w:val="22"/>
        </w:rPr>
        <w:t xml:space="preserve"> Kilus klausimui dėl šiurkštaus nusižengimo turnyre, techninis delegatas, pasitaręs su protestų komisija, skiria sankciją asmeniui ir (arba) jo komandai. Tai gali būti asmens ir (arba) komandos diskvalifikavimas iš to ar būsimų turnyrų.</w:t>
      </w:r>
    </w:p>
    <w:p>
      <w:r>
        <w:rPr>
          <w:rFonts w:ascii="Calibri" w:hAnsi="Calibri"/>
          <w:b/>
          <w:sz w:val="22"/>
        </w:rPr>
        <w:t>53.3.</w:t>
      </w:r>
      <w:r>
        <w:rPr>
          <w:rFonts w:ascii="Calibri" w:hAnsi="Calibri"/>
          <w:sz w:val="22"/>
        </w:rPr>
        <w:t xml:space="preserve"> Apie kiekvieną šiurkštų nusižengimą pranešama IBSA Golbolo sporto komitetui. Rašytinį pranešimą gali pateikti techninis delegatas arba kita suinteresuota šalis. Jame nurodomas atsakovas ar atsakovai ir įvykio aplinkybės; galima pridėti liudytojų parodymus, medicinos dokumentus, vaizdo ir (arba) garso įrodymus.</w:t>
      </w:r>
    </w:p>
    <w:p>
      <w:r>
        <w:rPr>
          <w:rFonts w:ascii="Calibri" w:hAnsi="Calibri"/>
          <w:b/>
          <w:sz w:val="22"/>
        </w:rPr>
        <w:t>53.4.</w:t>
      </w:r>
      <w:r>
        <w:rPr>
          <w:rFonts w:ascii="Calibri" w:hAnsi="Calibri"/>
          <w:sz w:val="22"/>
        </w:rPr>
        <w:t xml:space="preserve"> Gavęs pranešimą, IBSA Golbolo sporto komitetas informuoja atsakovą ar atsakovus bei jų IBSA organizaciją narę, pateikdamas pranešėjo ir incidento duomenis. Atsakovams ir (arba) organizacijai narei skiriama 14 dienų atsakyti į kaltinimus. Tada komitetas posėdyje sprendžia, ar skirti sankcijas.</w:t>
      </w:r>
    </w:p>
    <w:p>
      <w:r>
        <w:rPr>
          <w:rFonts w:ascii="Calibri" w:hAnsi="Calibri"/>
          <w:b/>
          <w:sz w:val="22"/>
        </w:rPr>
        <w:t>53.5.</w:t>
      </w:r>
      <w:r>
        <w:rPr>
          <w:rFonts w:ascii="Calibri" w:hAnsi="Calibri"/>
          <w:sz w:val="22"/>
        </w:rPr>
        <w:t xml:space="preserve"> IBSA Golbolo sporto komiteto sankcijos gali apimti, be kita ko:</w:t>
      </w:r>
    </w:p>
    <w:p>
      <w:pPr>
        <w:pStyle w:val="ListBullet"/>
      </w:pPr>
      <w:r>
        <w:rPr>
          <w:rFonts w:ascii="Calibri" w:hAnsi="Calibri"/>
          <w:sz w:val="22"/>
        </w:rPr>
        <w:t>atsakovo arba atsakovų diskvalifikavimą iš būsimų turnyrų;</w:t>
      </w:r>
    </w:p>
    <w:p>
      <w:pPr>
        <w:pStyle w:val="ListBullet"/>
      </w:pPr>
      <w:r>
        <w:rPr>
          <w:rFonts w:ascii="Calibri" w:hAnsi="Calibri"/>
          <w:sz w:val="22"/>
        </w:rPr>
        <w:t>reitingo taškų atėmimą;</w:t>
      </w:r>
    </w:p>
    <w:p>
      <w:pPr>
        <w:pStyle w:val="ListBullet"/>
      </w:pPr>
      <w:r>
        <w:rPr>
          <w:rFonts w:ascii="Calibri" w:hAnsi="Calibri"/>
          <w:sz w:val="22"/>
        </w:rPr>
        <w:t>bet kurią kitą tinkama pripažintą sankciją.</w:t>
      </w:r>
    </w:p>
    <w:p>
      <w:r>
        <w:rPr>
          <w:rFonts w:ascii="Calibri" w:hAnsi="Calibri"/>
          <w:b/>
          <w:sz w:val="22"/>
        </w:rPr>
        <w:t>53.6.</w:t>
      </w:r>
      <w:r>
        <w:rPr>
          <w:rFonts w:ascii="Calibri" w:hAnsi="Calibri"/>
          <w:sz w:val="22"/>
        </w:rPr>
        <w:t xml:space="preserve"> Priėmęs sprendimą, komitetas per 7 dienas apie jį raštu informuoja atsakovą ar atsakovus ir jų IBSA organizaciją narę.</w:t>
      </w:r>
    </w:p>
    <w:p>
      <w:r>
        <w:rPr>
          <w:rFonts w:ascii="Calibri" w:hAnsi="Calibri"/>
          <w:b/>
          <w:sz w:val="22"/>
        </w:rPr>
        <w:t>53.7.</w:t>
      </w:r>
      <w:r>
        <w:rPr>
          <w:rFonts w:ascii="Calibri" w:hAnsi="Calibri"/>
          <w:sz w:val="22"/>
        </w:rPr>
        <w:t xml:space="preserve"> Nuo pranešimo apie sprendimą dienos atsakovai turi dar 14 dienų raštu pateikti atsakymą dėl sankcijų. Jame turi būti anksčiau komitetui nepateikta informacija, pavyzdžiui:</w:t>
      </w:r>
    </w:p>
    <w:p>
      <w:pPr>
        <w:pStyle w:val="ListBullet"/>
      </w:pPr>
      <w:r>
        <w:rPr>
          <w:rFonts w:ascii="Calibri" w:hAnsi="Calibri"/>
          <w:sz w:val="22"/>
        </w:rPr>
        <w:t>nusižengimo priežastys;</w:t>
      </w:r>
    </w:p>
    <w:p>
      <w:pPr>
        <w:pStyle w:val="ListBullet"/>
      </w:pPr>
      <w:r>
        <w:rPr>
          <w:rFonts w:ascii="Calibri" w:hAnsi="Calibri"/>
          <w:sz w:val="22"/>
        </w:rPr>
        <w:t>kitos vertintinos nusižengimo aplinkybės;</w:t>
      </w:r>
    </w:p>
    <w:p>
      <w:pPr>
        <w:pStyle w:val="ListBullet"/>
      </w:pPr>
      <w:r>
        <w:rPr>
          <w:rFonts w:ascii="Calibri" w:hAnsi="Calibri"/>
          <w:sz w:val="22"/>
        </w:rPr>
        <w:t>argumentai dėl sankcijų griežtumo.</w:t>
      </w:r>
    </w:p>
    <w:p>
      <w:r>
        <w:rPr>
          <w:rFonts w:ascii="Calibri" w:hAnsi="Calibri"/>
          <w:b/>
          <w:sz w:val="22"/>
        </w:rPr>
        <w:t>53.8.</w:t>
      </w:r>
      <w:r>
        <w:rPr>
          <w:rFonts w:ascii="Calibri" w:hAnsi="Calibri"/>
          <w:sz w:val="22"/>
        </w:rPr>
        <w:t xml:space="preserve"> Gavęs apeliaciją dėl pirminio sprendimo, IBSA Golbolo sporto komitetas perduoda IBSA vykdomajai valdybai visus dokumentus: pirminį pranešimą, atsakovo ir (arba) jo organizacijos atsakymą į kaltinimus bei apeliaciją. Vykdomoji valdyba prieš priimdama galutinį sprendimą įvertina pirminio pranešimo ir apeliacijos turinį.</w:t>
      </w:r>
    </w:p>
    <w:p>
      <w:r>
        <w:rPr>
          <w:rFonts w:ascii="Calibri" w:hAnsi="Calibri"/>
          <w:b/>
          <w:sz w:val="22"/>
        </w:rPr>
        <w:t>53.9.</w:t>
      </w:r>
      <w:r>
        <w:rPr>
          <w:rFonts w:ascii="Calibri" w:hAnsi="Calibri"/>
          <w:sz w:val="22"/>
        </w:rPr>
        <w:t xml:space="preserve"> Jei asmuo arba komanda neatsako į pirminį sprendimą, laikoma, kad nėra pagrindo ginčyti sankcijų, ir sprendimas lieka galutinis.</w:t>
      </w:r>
    </w:p>
    <w:p>
      <w:r>
        <w:rPr>
          <w:rFonts w:ascii="Calibri" w:hAnsi="Calibri"/>
          <w:b/>
          <w:sz w:val="22"/>
        </w:rPr>
        <w:t>53.10.</w:t>
      </w:r>
      <w:r>
        <w:rPr>
          <w:rFonts w:ascii="Calibri" w:hAnsi="Calibri"/>
          <w:sz w:val="22"/>
        </w:rPr>
        <w:t xml:space="preserve"> IBSA vykdomosios valdybos sprendimas dėl apeliacijos yra galutinis. Apie jį pranešama atitinkamam asmeniui arba komandai ir jų nacionalinei organizacijai; sprendimą informavimo tikslais užregistruoja IBSA vykdomosios valdybos Golbolo sporto direktorius. Vykdomoji valdyba arba IBSA Golbolo sporto komitetas gali perduoti sprendimų kopijas turnyrų organizaciniams komitetams ir (arba) sportininkų licencijavimo institucijoms, kad sankcijos būtų tinkamai įvykdytos.</w:t>
      </w:r>
    </w:p>
    <w:p>
      <w:pPr>
        <w:pStyle w:val="Heading2"/>
      </w:pPr>
      <w:r>
        <w:rPr>
          <w:rFonts w:ascii="Calibri" w:hAnsi="Calibri"/>
          <w:sz w:val="22"/>
        </w:rPr>
        <w:t>54. Rungtynių protokolas</w:t>
      </w:r>
    </w:p>
    <w:p>
      <w:r>
        <w:rPr>
          <w:rFonts w:ascii="Calibri" w:hAnsi="Calibri"/>
          <w:b/>
          <w:sz w:val="22"/>
        </w:rPr>
        <w:t>54.1. Komandos registracija ir monetos metimas.</w:t>
      </w:r>
      <w:r>
        <w:rPr>
          <w:rFonts w:ascii="Calibri" w:hAnsi="Calibri"/>
          <w:sz w:val="22"/>
        </w:rPr>
        <w:t xml:space="preserve"> Prieš rungtynes abiejų komandų atstovai atvyksta į nustatytą registracijos vietą patvirtinti rungtynių protokolo informacinio bei žaidėjų eiliškumo lapų ir mesti monetą. Informaciniame lape turi būti visi dalyvaujantys žaidėjai ir komandos suolelio zonoje būsiantys treneriai.</w:t>
      </w:r>
    </w:p>
    <w:p>
      <w:r>
        <w:rPr>
          <w:rFonts w:ascii="Calibri" w:hAnsi="Calibri"/>
          <w:sz w:val="22"/>
        </w:rPr>
        <w:t>Pasibaigus paskutinėms 90 sekundžių iki rungtynių pradžios, komandos suolelio zonoje esantys, bet žaidėjų eiliškumo lape nenurodyti asmenys pašalinami iš žaidimo vietos. Informaciniame lape nurodyti, bet tuo metu suolelio zonoje nesantys komandos nariai tame kėlinyje į žaidimo vietą neįleidžiami.</w:t>
      </w:r>
    </w:p>
    <w:p>
      <w:r>
        <w:rPr>
          <w:rFonts w:ascii="Calibri" w:hAnsi="Calibri"/>
          <w:b/>
          <w:sz w:val="22"/>
        </w:rPr>
        <w:t>54.2. Apšilimas.</w:t>
      </w:r>
      <w:r>
        <w:rPr>
          <w:rFonts w:ascii="Calibri" w:hAnsi="Calibri"/>
          <w:sz w:val="22"/>
        </w:rPr>
        <w:t xml:space="preserve"> Visoms komandoms bent pusvalandį iki kvietimo į rungtynes turi būti suteikta galimybė apšilti tinkamoje vietoje. Abiejų komandų apšilimo vietos turi būti panašios ir kuo labiau atitikti varžybų vietos sąlygas. Apšilimo kamuoliai turi būti to paties prekių ženklo arba modelio kaip turnyro rungtynių kamuoliai.</w:t>
      </w:r>
    </w:p>
    <w:p>
      <w:r>
        <w:rPr>
          <w:rFonts w:ascii="Calibri" w:hAnsi="Calibri"/>
          <w:b/>
          <w:sz w:val="22"/>
        </w:rPr>
        <w:t>54.3. Iškilmingas įėjimas.</w:t>
      </w:r>
      <w:r>
        <w:rPr>
          <w:rFonts w:ascii="Calibri" w:hAnsi="Calibri"/>
          <w:sz w:val="22"/>
        </w:rPr>
        <w:t xml:space="preserve"> Visuose svarbiausiuose čempionatuose komandos iškilmingai įžengia į žaidimo vietą. Įėjimo metu komandos aprangos neturintis žaidėjas negali eiti kartu su komanda ar apšilti žaidimo vietoje. Jei aprangos nėra ir likus 90 sekundžių iki rungtynių, žaidėjas pašalinamas iš tų rungtynių, laikomas nedalyvaujančiu ir privalo vilkėti organizacinio komiteto pateiktus atpažinimo marškinėlius.</w:t>
      </w:r>
    </w:p>
    <w:p>
      <w:r>
        <w:rPr>
          <w:rFonts w:ascii="Calibri" w:hAnsi="Calibri"/>
          <w:b/>
          <w:sz w:val="22"/>
        </w:rPr>
        <w:t>54.4. Komandų pristatymas.</w:t>
      </w:r>
      <w:r>
        <w:rPr>
          <w:rFonts w:ascii="Calibri" w:hAnsi="Calibri"/>
          <w:sz w:val="22"/>
        </w:rPr>
        <w:t xml:space="preserve"> Prieš rungtynes abi komandos išrikiuojamos ties 6,0 m linija. Sugrojami abiejų valstybių himnai ir paskelbiami visų žaidėjų, komandos personalo narių bei teisėjų vardai.</w:t>
      </w:r>
    </w:p>
    <w:p>
      <w:r>
        <w:rPr>
          <w:rFonts w:ascii="Calibri" w:hAnsi="Calibri"/>
          <w:b/>
          <w:sz w:val="22"/>
        </w:rPr>
        <w:t>54.5. Pranešėjai, muzika ir kiti garsai turnyro metu.</w:t>
      </w:r>
      <w:r>
        <w:rPr>
          <w:rFonts w:ascii="Calibri" w:hAnsi="Calibri"/>
          <w:sz w:val="22"/>
        </w:rPr>
        <w:t xml:space="preserve"> Rungtynių metu muzika, pranešėjų kalba ar kiti garsai leidžiami tik per komandų ir medicinines pertraukėles, 5 minučių kėlinio pertrauką ir 5 minutes iki rungtynių pradžios. Jie negali trukdyti girdėti teisėjo komandų ar įspėjamųjų signalų. Siekiant vienodumo, garsai turi būti vienodai naudojami visose salėse ir visose rungtynėse. Muzika negali pažeisti autorių teisių ar naudojimo teisės aktų.</w:t>
      </w:r>
    </w:p>
    <w:p>
      <w:r>
        <w:rPr>
          <w:rFonts w:ascii="Calibri" w:hAnsi="Calibri"/>
          <w:b/>
          <w:sz w:val="22"/>
        </w:rPr>
        <w:t>54.6. Protestų komisija.</w:t>
      </w:r>
      <w:r>
        <w:rPr>
          <w:rFonts w:ascii="Calibri" w:hAnsi="Calibri"/>
          <w:sz w:val="22"/>
        </w:rPr>
        <w:t xml:space="preserve"> IBSA sankcionuojamuose turnyruose visus protestus ir su pašalinimu susijusius klausimus nagrinėja protestų komisija; jos sprendimas galutinis. Komisiją sudaro techninis delegatas, jo paskirtas turnyro teisėjas, nedalyvavęs ginčijamose rungtynėse, turnyro direktorius (varžybų vadovas arba organizacinio komiteto atstovas) ir dar vienas techninio delegato paskirtas asmuo. Pastarasis negali būti kitas teisėjas, ginčijamose rungtynėse dalyvavęs asmuo arba asmuo, kurio komandą galėtų paveikti komisijos sprendimas.</w:t>
      </w:r>
    </w:p>
    <w:p>
      <w:pPr>
        <w:pStyle w:val="Heading2"/>
      </w:pPr>
      <w:r>
        <w:rPr>
          <w:rFonts w:ascii="Calibri" w:hAnsi="Calibri"/>
          <w:sz w:val="22"/>
        </w:rPr>
        <w:t>55. Turnyrų nuostatų išimtys</w:t>
      </w:r>
    </w:p>
    <w:p>
      <w:r>
        <w:rPr>
          <w:rFonts w:ascii="Calibri" w:hAnsi="Calibri"/>
          <w:sz w:val="22"/>
        </w:rPr>
        <w:t>Bet kuri šių nuostatų išimtis turi būti:</w:t>
      </w:r>
    </w:p>
    <w:p>
      <w:pPr>
        <w:pStyle w:val="ListBullet"/>
      </w:pPr>
      <w:r>
        <w:rPr>
          <w:rFonts w:ascii="Calibri" w:hAnsi="Calibri"/>
          <w:sz w:val="22"/>
        </w:rPr>
        <w:t>raštu pateikta IBSA Golbolo sporto komitetui arba jo pirmininkui ne vėliau kaip likus 60 dienų iki turnyro pradžios;</w:t>
      </w:r>
    </w:p>
    <w:p>
      <w:pPr>
        <w:pStyle w:val="ListBullet"/>
      </w:pPr>
      <w:r>
        <w:rPr>
          <w:rFonts w:ascii="Calibri" w:hAnsi="Calibri"/>
          <w:sz w:val="22"/>
        </w:rPr>
        <w:t>komiteto arba jo pirmininko patvirtinta per 21 dieną nuo prašymo gavimo;</w:t>
      </w:r>
    </w:p>
    <w:p>
      <w:pPr>
        <w:pStyle w:val="ListBullet"/>
      </w:pPr>
      <w:r>
        <w:rPr>
          <w:rFonts w:ascii="Calibri" w:hAnsi="Calibri"/>
          <w:sz w:val="22"/>
        </w:rPr>
        <w:t>iškart po patvirtinimo komiteto arba jo pirmininko pranešta kitoms dalyvaujančioms komandoms.</w:t>
      </w:r>
    </w:p>
    <w:p>
      <w:r>
        <w:rPr>
          <w:rFonts w:ascii="Calibri" w:hAnsi="Calibri"/>
          <w:sz w:val="22"/>
        </w:rPr>
        <w:t>IBSA Golbolo sporto komitetas pasilieka teisę prireikus keisti taisykles ir turnyrų nuostatus, jei prieš 60 dienų apie tai raštu paskelbia savo interneto svetainėje.</w:t>
      </w:r>
    </w:p>
    <w:p>
      <w:r>
        <w:rPr>
          <w:rFonts w:ascii="Calibri" w:hAnsi="Calibri"/>
          <w:sz w:val="22"/>
        </w:rPr>
        <w:t>Šio dokumento taisyklės, nuostatai ir priedai įsigalioja 2025 m. sausio 1 d.</w:t>
      </w:r>
    </w:p>
    <w:p>
      <w:pPr>
        <w:pStyle w:val="Heading1"/>
      </w:pPr>
      <w:r>
        <w:rPr>
          <w:rFonts w:ascii="Calibri" w:hAnsi="Calibri"/>
          <w:sz w:val="22"/>
        </w:rPr>
        <w:t>Pastabos dėl originalo vidinių nuorodų</w:t>
      </w:r>
    </w:p>
    <w:p>
      <w:pPr>
        <w:pStyle w:val="ListNumber"/>
      </w:pPr>
      <w:r>
        <w:rPr>
          <w:rFonts w:ascii="Calibri" w:hAnsi="Calibri"/>
          <w:sz w:val="22"/>
        </w:rPr>
        <w:t>48.4.4 papunktyje komandų reitingavimui nurodyta 49 nuostata, nors reitingavimo tvarka pateikta 50 nuostatoje.</w:t>
      </w:r>
    </w:p>
    <w:p>
      <w:pPr>
        <w:pStyle w:val="ListNumber"/>
      </w:pPr>
      <w:r>
        <w:rPr>
          <w:rFonts w:ascii="Calibri" w:hAnsi="Calibri"/>
          <w:sz w:val="22"/>
        </w:rPr>
        <w:t>49.2.4 papunktyje komandų reitingavimui taip pat nurodyta 49 nuostata; pagal dokumento struktūrą tikėtina nuoroda į 50 nuostatą.</w:t>
      </w:r>
    </w:p>
    <w:p>
      <w:pPr>
        <w:pStyle w:val="ListNumber"/>
      </w:pPr>
      <w:r>
        <w:rPr>
          <w:rFonts w:ascii="Calibri" w:hAnsi="Calibri"/>
          <w:sz w:val="22"/>
        </w:rPr>
        <w:t>54.6 papunktyje su pašalinimu susijusiems klausimams nurodyta 52 nuostata, tačiau 52 nuostata reglamentuoja rungtynių skaičių per dieną, o šiurkštų nusižengimą ir sankcijas reglamentuoja 53 nuostata.</w:t>
      </w:r>
    </w:p>
    <w:p>
      <w:pPr>
        <w:pStyle w:val="ListNumber"/>
      </w:pPr>
      <w:r>
        <w:rPr>
          <w:rFonts w:ascii="Calibri" w:hAnsi="Calibri"/>
          <w:sz w:val="22"/>
        </w:rPr>
        <w:t>Šios nuorodos vertime savavališkai nepakeistos. Prieš viešinimą jas reikia patvirtinti pagal oficialų IBSA paaiškinimą arba taisymų dokumentą.</w:t>
      </w:r>
    </w:p>
    <w:p>
      <w:r>
        <w:br w:type="page"/>
      </w:r>
    </w:p>
    <w:p>
      <w:pPr>
        <w:pStyle w:val="Heading1"/>
      </w:pPr>
      <w:r>
        <w:rPr>
          <w:rFonts w:ascii="Calibri" w:hAnsi="Calibri"/>
          <w:sz w:val="22"/>
        </w:rPr>
        <w:t>1 priedas. Aikštės schema, rankų signalai, vartų ir kamuolio padėtis</w:t>
      </w:r>
    </w:p>
    <w:p>
      <w:pPr>
        <w:pStyle w:val="Heading2"/>
      </w:pPr>
      <w:r>
        <w:rPr>
          <w:rFonts w:ascii="Calibri" w:hAnsi="Calibri"/>
          <w:sz w:val="22"/>
        </w:rPr>
        <w:t>Aikštės schemos užrašai</w:t>
      </w:r>
    </w:p>
    <w:tbl>
      <w:tblPr>
        <w:tblStyle w:val="TableGrid"/>
        <w:tblW w:type="dxa" w:w="9360"/>
        <w:jc w:val="left"/>
        <w:tblLayout w:type="fixed"/>
        <w:tblLook w:firstColumn="1" w:firstRow="1" w:lastColumn="0" w:lastRow="0" w:noHBand="0" w:noVBand="1" w:val="04A0"/>
        <w:tblInd w:w="120" w:type="dxa"/>
      </w:tblPr>
      <w:tblGrid>
        <w:gridCol w:w="3000"/>
        <w:gridCol w:w="6360"/>
      </w:tblGrid>
      <w:tr>
        <w:tc>
          <w:tcPr>
            <w:tcW w:type="dxa" w:w="3000"/>
            <w:shd w:fill="E8EEF5"/>
            <w:tcMar>
              <w:top w:w="80" w:type="dxa"/>
              <w:start w:w="120" w:type="dxa"/>
              <w:bottom w:w="80" w:type="dxa"/>
              <w:end w:w="120" w:type="dxa"/>
            </w:tcMar>
            <w:vAlign w:val="center"/>
          </w:tcPr>
          <w:p>
            <w:pPr>
              <w:spacing w:after="40"/>
            </w:pPr>
            <w:r>
              <w:rPr>
                <w:rFonts w:ascii="Calibri" w:hAnsi="Calibri"/>
                <w:b/>
                <w:sz w:val="22"/>
              </w:rPr>
              <w:t>Originalo užrašas</w:t>
            </w:r>
          </w:p>
        </w:tc>
        <w:tc>
          <w:tcPr>
            <w:tcW w:type="dxa" w:w="6360"/>
            <w:shd w:fill="E8EEF5"/>
            <w:tcMar>
              <w:top w:w="80" w:type="dxa"/>
              <w:start w:w="120" w:type="dxa"/>
              <w:bottom w:w="80" w:type="dxa"/>
              <w:end w:w="120" w:type="dxa"/>
            </w:tcMar>
            <w:vAlign w:val="center"/>
          </w:tcPr>
          <w:p>
            <w:pPr>
              <w:spacing w:after="40"/>
            </w:pPr>
            <w:r>
              <w:rPr>
                <w:rFonts w:ascii="Calibri" w:hAnsi="Calibri"/>
                <w:b/>
                <w:sz w:val="22"/>
              </w:rPr>
              <w:t>Lietuviškas užrašas</w:t>
            </w:r>
          </w:p>
        </w:tc>
      </w:tr>
      <w:tr>
        <w:tc>
          <w:tcPr>
            <w:tcW w:type="dxa" w:w="3000"/>
            <w:tcMar>
              <w:top w:w="80" w:type="dxa"/>
              <w:start w:w="120" w:type="dxa"/>
              <w:bottom w:w="80" w:type="dxa"/>
              <w:end w:w="120" w:type="dxa"/>
            </w:tcMar>
            <w:vAlign w:val="center"/>
          </w:tcPr>
          <w:p>
            <w:pPr>
              <w:spacing w:after="40"/>
            </w:pPr>
            <w:r>
              <w:rPr>
                <w:rFonts w:ascii="Calibri" w:hAnsi="Calibri"/>
                <w:b w:val="0"/>
                <w:sz w:val="22"/>
              </w:rPr>
              <w:t>Court Diagram</w:t>
            </w:r>
          </w:p>
        </w:tc>
        <w:tc>
          <w:tcPr>
            <w:tcW w:type="dxa" w:w="6360"/>
            <w:tcMar>
              <w:top w:w="80" w:type="dxa"/>
              <w:start w:w="120" w:type="dxa"/>
              <w:bottom w:w="80" w:type="dxa"/>
              <w:end w:w="120" w:type="dxa"/>
            </w:tcMar>
            <w:vAlign w:val="center"/>
          </w:tcPr>
          <w:p>
            <w:pPr>
              <w:spacing w:after="40"/>
            </w:pPr>
            <w:r>
              <w:rPr>
                <w:rFonts w:ascii="Calibri" w:hAnsi="Calibri"/>
                <w:b w:val="0"/>
                <w:sz w:val="22"/>
              </w:rPr>
              <w:t>Aikštės schema</w:t>
            </w:r>
          </w:p>
        </w:tc>
      </w:tr>
      <w:tr>
        <w:tc>
          <w:tcPr>
            <w:tcW w:type="dxa" w:w="3000"/>
            <w:tcMar>
              <w:top w:w="80" w:type="dxa"/>
              <w:start w:w="120" w:type="dxa"/>
              <w:bottom w:w="80" w:type="dxa"/>
              <w:end w:w="120" w:type="dxa"/>
            </w:tcMar>
            <w:vAlign w:val="center"/>
          </w:tcPr>
          <w:p>
            <w:pPr>
              <w:spacing w:after="40"/>
            </w:pPr>
            <w:r>
              <w:rPr>
                <w:rFonts w:ascii="Calibri" w:hAnsi="Calibri"/>
                <w:b w:val="0"/>
                <w:sz w:val="22"/>
              </w:rPr>
              <w:t>Side Line</w:t>
            </w:r>
          </w:p>
        </w:tc>
        <w:tc>
          <w:tcPr>
            <w:tcW w:type="dxa" w:w="6360"/>
            <w:tcMar>
              <w:top w:w="80" w:type="dxa"/>
              <w:start w:w="120" w:type="dxa"/>
              <w:bottom w:w="80" w:type="dxa"/>
              <w:end w:w="120" w:type="dxa"/>
            </w:tcMar>
            <w:vAlign w:val="center"/>
          </w:tcPr>
          <w:p>
            <w:pPr>
              <w:spacing w:after="40"/>
            </w:pPr>
            <w:r>
              <w:rPr>
                <w:rFonts w:ascii="Calibri" w:hAnsi="Calibri"/>
                <w:b w:val="0"/>
                <w:sz w:val="22"/>
              </w:rPr>
              <w:t>Šoninė linija</w:t>
            </w:r>
          </w:p>
        </w:tc>
      </w:tr>
      <w:tr>
        <w:tc>
          <w:tcPr>
            <w:tcW w:type="dxa" w:w="3000"/>
            <w:tcMar>
              <w:top w:w="80" w:type="dxa"/>
              <w:start w:w="120" w:type="dxa"/>
              <w:bottom w:w="80" w:type="dxa"/>
              <w:end w:w="120" w:type="dxa"/>
            </w:tcMar>
            <w:vAlign w:val="center"/>
          </w:tcPr>
          <w:p>
            <w:pPr>
              <w:spacing w:after="40"/>
            </w:pPr>
            <w:r>
              <w:rPr>
                <w:rFonts w:ascii="Calibri" w:hAnsi="Calibri"/>
                <w:b w:val="0"/>
                <w:sz w:val="22"/>
              </w:rPr>
              <w:t>Goal Line</w:t>
            </w:r>
          </w:p>
        </w:tc>
        <w:tc>
          <w:tcPr>
            <w:tcW w:type="dxa" w:w="6360"/>
            <w:tcMar>
              <w:top w:w="80" w:type="dxa"/>
              <w:start w:w="120" w:type="dxa"/>
              <w:bottom w:w="80" w:type="dxa"/>
              <w:end w:w="120" w:type="dxa"/>
            </w:tcMar>
            <w:vAlign w:val="center"/>
          </w:tcPr>
          <w:p>
            <w:pPr>
              <w:spacing w:after="40"/>
            </w:pPr>
            <w:r>
              <w:rPr>
                <w:rFonts w:ascii="Calibri" w:hAnsi="Calibri"/>
                <w:b w:val="0"/>
                <w:sz w:val="22"/>
              </w:rPr>
              <w:t>Vartų linija</w:t>
            </w:r>
          </w:p>
        </w:tc>
      </w:tr>
      <w:tr>
        <w:tc>
          <w:tcPr>
            <w:tcW w:type="dxa" w:w="3000"/>
            <w:tcMar>
              <w:top w:w="80" w:type="dxa"/>
              <w:start w:w="120" w:type="dxa"/>
              <w:bottom w:w="80" w:type="dxa"/>
              <w:end w:w="120" w:type="dxa"/>
            </w:tcMar>
            <w:vAlign w:val="center"/>
          </w:tcPr>
          <w:p>
            <w:pPr>
              <w:spacing w:after="40"/>
            </w:pPr>
            <w:r>
              <w:rPr>
                <w:rFonts w:ascii="Calibri" w:hAnsi="Calibri"/>
                <w:b w:val="0"/>
                <w:sz w:val="22"/>
              </w:rPr>
              <w:t>High Ball Line</w:t>
            </w:r>
          </w:p>
        </w:tc>
        <w:tc>
          <w:tcPr>
            <w:tcW w:type="dxa" w:w="6360"/>
            <w:tcMar>
              <w:top w:w="80" w:type="dxa"/>
              <w:start w:w="120" w:type="dxa"/>
              <w:bottom w:w="80" w:type="dxa"/>
              <w:end w:w="120" w:type="dxa"/>
            </w:tcMar>
            <w:vAlign w:val="center"/>
          </w:tcPr>
          <w:p>
            <w:pPr>
              <w:spacing w:after="40"/>
            </w:pPr>
            <w:r>
              <w:rPr>
                <w:rFonts w:ascii="Calibri" w:hAnsi="Calibri"/>
                <w:b w:val="0"/>
                <w:sz w:val="22"/>
              </w:rPr>
              <w:t>Aukšto kamuolio linija</w:t>
            </w:r>
          </w:p>
        </w:tc>
      </w:tr>
      <w:tr>
        <w:tc>
          <w:tcPr>
            <w:tcW w:type="dxa" w:w="3000"/>
            <w:tcMar>
              <w:top w:w="80" w:type="dxa"/>
              <w:start w:w="120" w:type="dxa"/>
              <w:bottom w:w="80" w:type="dxa"/>
              <w:end w:w="120" w:type="dxa"/>
            </w:tcMar>
            <w:vAlign w:val="center"/>
          </w:tcPr>
          <w:p>
            <w:pPr>
              <w:spacing w:after="40"/>
            </w:pPr>
            <w:r>
              <w:rPr>
                <w:rFonts w:ascii="Calibri" w:hAnsi="Calibri"/>
                <w:b w:val="0"/>
                <w:sz w:val="22"/>
              </w:rPr>
              <w:t>Goal Post</w:t>
            </w:r>
          </w:p>
        </w:tc>
        <w:tc>
          <w:tcPr>
            <w:tcW w:type="dxa" w:w="6360"/>
            <w:tcMar>
              <w:top w:w="80" w:type="dxa"/>
              <w:start w:w="120" w:type="dxa"/>
              <w:bottom w:w="80" w:type="dxa"/>
              <w:end w:w="120" w:type="dxa"/>
            </w:tcMar>
            <w:vAlign w:val="center"/>
          </w:tcPr>
          <w:p>
            <w:pPr>
              <w:spacing w:after="40"/>
            </w:pPr>
            <w:r>
              <w:rPr>
                <w:rFonts w:ascii="Calibri" w:hAnsi="Calibri"/>
                <w:b w:val="0"/>
                <w:sz w:val="22"/>
              </w:rPr>
              <w:t>Vartų virpstas</w:t>
            </w:r>
          </w:p>
        </w:tc>
      </w:tr>
      <w:tr>
        <w:tc>
          <w:tcPr>
            <w:tcW w:type="dxa" w:w="3000"/>
            <w:tcMar>
              <w:top w:w="80" w:type="dxa"/>
              <w:start w:w="120" w:type="dxa"/>
              <w:bottom w:w="80" w:type="dxa"/>
              <w:end w:w="120" w:type="dxa"/>
            </w:tcMar>
            <w:vAlign w:val="center"/>
          </w:tcPr>
          <w:p>
            <w:pPr>
              <w:spacing w:after="40"/>
            </w:pPr>
            <w:r>
              <w:rPr>
                <w:rFonts w:ascii="Calibri" w:hAnsi="Calibri"/>
                <w:b w:val="0"/>
                <w:sz w:val="22"/>
              </w:rPr>
              <w:t>Neutral Area</w:t>
            </w:r>
          </w:p>
        </w:tc>
        <w:tc>
          <w:tcPr>
            <w:tcW w:type="dxa" w:w="6360"/>
            <w:tcMar>
              <w:top w:w="80" w:type="dxa"/>
              <w:start w:w="120" w:type="dxa"/>
              <w:bottom w:w="80" w:type="dxa"/>
              <w:end w:w="120" w:type="dxa"/>
            </w:tcMar>
            <w:vAlign w:val="center"/>
          </w:tcPr>
          <w:p>
            <w:pPr>
              <w:spacing w:after="40"/>
            </w:pPr>
            <w:r>
              <w:rPr>
                <w:rFonts w:ascii="Calibri" w:hAnsi="Calibri"/>
                <w:b w:val="0"/>
                <w:sz w:val="22"/>
              </w:rPr>
              <w:t>Neutrali zona</w:t>
            </w:r>
          </w:p>
        </w:tc>
      </w:tr>
      <w:tr>
        <w:tc>
          <w:tcPr>
            <w:tcW w:type="dxa" w:w="3000"/>
            <w:tcMar>
              <w:top w:w="80" w:type="dxa"/>
              <w:start w:w="120" w:type="dxa"/>
              <w:bottom w:w="80" w:type="dxa"/>
              <w:end w:w="120" w:type="dxa"/>
            </w:tcMar>
            <w:vAlign w:val="center"/>
          </w:tcPr>
          <w:p>
            <w:pPr>
              <w:spacing w:after="40"/>
            </w:pPr>
            <w:r>
              <w:rPr>
                <w:rFonts w:ascii="Calibri" w:hAnsi="Calibri"/>
                <w:b w:val="0"/>
                <w:sz w:val="22"/>
              </w:rPr>
              <w:t>Landing Area</w:t>
            </w:r>
          </w:p>
        </w:tc>
        <w:tc>
          <w:tcPr>
            <w:tcW w:type="dxa" w:w="6360"/>
            <w:tcMar>
              <w:top w:w="80" w:type="dxa"/>
              <w:start w:w="120" w:type="dxa"/>
              <w:bottom w:w="80" w:type="dxa"/>
              <w:end w:w="120" w:type="dxa"/>
            </w:tcMar>
            <w:vAlign w:val="center"/>
          </w:tcPr>
          <w:p>
            <w:pPr>
              <w:spacing w:after="40"/>
            </w:pPr>
            <w:r>
              <w:rPr>
                <w:rFonts w:ascii="Calibri" w:hAnsi="Calibri"/>
                <w:b w:val="0"/>
                <w:sz w:val="22"/>
              </w:rPr>
              <w:t>Puolimo zona</w:t>
            </w:r>
          </w:p>
        </w:tc>
      </w:tr>
      <w:tr>
        <w:tc>
          <w:tcPr>
            <w:tcW w:type="dxa" w:w="3000"/>
            <w:tcMar>
              <w:top w:w="80" w:type="dxa"/>
              <w:start w:w="120" w:type="dxa"/>
              <w:bottom w:w="80" w:type="dxa"/>
              <w:end w:w="120" w:type="dxa"/>
            </w:tcMar>
            <w:vAlign w:val="center"/>
          </w:tcPr>
          <w:p>
            <w:pPr>
              <w:spacing w:after="40"/>
            </w:pPr>
            <w:r>
              <w:rPr>
                <w:rFonts w:ascii="Calibri" w:hAnsi="Calibri"/>
                <w:b w:val="0"/>
                <w:sz w:val="22"/>
              </w:rPr>
              <w:t>Orientation Area</w:t>
            </w:r>
          </w:p>
        </w:tc>
        <w:tc>
          <w:tcPr>
            <w:tcW w:type="dxa" w:w="6360"/>
            <w:tcMar>
              <w:top w:w="80" w:type="dxa"/>
              <w:start w:w="120" w:type="dxa"/>
              <w:bottom w:w="80" w:type="dxa"/>
              <w:end w:w="120" w:type="dxa"/>
            </w:tcMar>
            <w:vAlign w:val="center"/>
          </w:tcPr>
          <w:p>
            <w:pPr>
              <w:spacing w:after="40"/>
            </w:pPr>
            <w:r>
              <w:rPr>
                <w:rFonts w:ascii="Calibri" w:hAnsi="Calibri"/>
                <w:b w:val="0"/>
                <w:sz w:val="22"/>
              </w:rPr>
              <w:t>Orientavimosi zona</w:t>
            </w:r>
          </w:p>
        </w:tc>
      </w:tr>
      <w:tr>
        <w:tc>
          <w:tcPr>
            <w:tcW w:type="dxa" w:w="3000"/>
            <w:tcMar>
              <w:top w:w="80" w:type="dxa"/>
              <w:start w:w="120" w:type="dxa"/>
              <w:bottom w:w="80" w:type="dxa"/>
              <w:end w:w="120" w:type="dxa"/>
            </w:tcMar>
            <w:vAlign w:val="center"/>
          </w:tcPr>
          <w:p>
            <w:pPr>
              <w:spacing w:after="40"/>
            </w:pPr>
            <w:r>
              <w:rPr>
                <w:rFonts w:ascii="Calibri" w:hAnsi="Calibri"/>
                <w:b w:val="0"/>
                <w:sz w:val="22"/>
              </w:rPr>
              <w:t>Team Areas</w:t>
            </w:r>
          </w:p>
        </w:tc>
        <w:tc>
          <w:tcPr>
            <w:tcW w:type="dxa" w:w="6360"/>
            <w:tcMar>
              <w:top w:w="80" w:type="dxa"/>
              <w:start w:w="120" w:type="dxa"/>
              <w:bottom w:w="80" w:type="dxa"/>
              <w:end w:w="120" w:type="dxa"/>
            </w:tcMar>
            <w:vAlign w:val="center"/>
          </w:tcPr>
          <w:p>
            <w:pPr>
              <w:spacing w:after="40"/>
            </w:pPr>
            <w:r>
              <w:rPr>
                <w:rFonts w:ascii="Calibri" w:hAnsi="Calibri"/>
                <w:b w:val="0"/>
                <w:sz w:val="22"/>
              </w:rPr>
              <w:t>Komandų zonos</w:t>
            </w:r>
          </w:p>
        </w:tc>
      </w:tr>
      <w:tr>
        <w:tc>
          <w:tcPr>
            <w:tcW w:type="dxa" w:w="3000"/>
            <w:tcMar>
              <w:top w:w="80" w:type="dxa"/>
              <w:start w:w="120" w:type="dxa"/>
              <w:bottom w:w="80" w:type="dxa"/>
              <w:end w:w="120" w:type="dxa"/>
            </w:tcMar>
            <w:vAlign w:val="center"/>
          </w:tcPr>
          <w:p>
            <w:pPr>
              <w:spacing w:after="40"/>
            </w:pPr>
            <w:r>
              <w:rPr>
                <w:rFonts w:ascii="Calibri" w:hAnsi="Calibri"/>
                <w:b w:val="0"/>
                <w:sz w:val="22"/>
              </w:rPr>
              <w:t>Team Bench Area</w:t>
            </w:r>
          </w:p>
        </w:tc>
        <w:tc>
          <w:tcPr>
            <w:tcW w:type="dxa" w:w="6360"/>
            <w:tcMar>
              <w:top w:w="80" w:type="dxa"/>
              <w:start w:w="120" w:type="dxa"/>
              <w:bottom w:w="80" w:type="dxa"/>
              <w:end w:w="120" w:type="dxa"/>
            </w:tcMar>
            <w:vAlign w:val="center"/>
          </w:tcPr>
          <w:p>
            <w:pPr>
              <w:spacing w:after="40"/>
            </w:pPr>
            <w:r>
              <w:rPr>
                <w:rFonts w:ascii="Calibri" w:hAnsi="Calibri"/>
                <w:b w:val="0"/>
                <w:sz w:val="22"/>
              </w:rPr>
              <w:t>Komandos suolelio zona</w:t>
            </w:r>
          </w:p>
        </w:tc>
      </w:tr>
      <w:tr>
        <w:tc>
          <w:tcPr>
            <w:tcW w:type="dxa" w:w="3000"/>
            <w:tcMar>
              <w:top w:w="80" w:type="dxa"/>
              <w:start w:w="120" w:type="dxa"/>
              <w:bottom w:w="80" w:type="dxa"/>
              <w:end w:w="120" w:type="dxa"/>
            </w:tcMar>
            <w:vAlign w:val="center"/>
          </w:tcPr>
          <w:p>
            <w:pPr>
              <w:spacing w:after="40"/>
            </w:pPr>
            <w:r>
              <w:rPr>
                <w:rFonts w:ascii="Calibri" w:hAnsi="Calibri"/>
                <w:b w:val="0"/>
                <w:sz w:val="22"/>
              </w:rPr>
              <w:t>Officials’ Table</w:t>
            </w:r>
          </w:p>
        </w:tc>
        <w:tc>
          <w:tcPr>
            <w:tcW w:type="dxa" w:w="6360"/>
            <w:tcMar>
              <w:top w:w="80" w:type="dxa"/>
              <w:start w:w="120" w:type="dxa"/>
              <w:bottom w:w="80" w:type="dxa"/>
              <w:end w:w="120" w:type="dxa"/>
            </w:tcMar>
            <w:vAlign w:val="center"/>
          </w:tcPr>
          <w:p>
            <w:pPr>
              <w:spacing w:after="40"/>
            </w:pPr>
            <w:r>
              <w:rPr>
                <w:rFonts w:ascii="Calibri" w:hAnsi="Calibri"/>
                <w:b w:val="0"/>
                <w:sz w:val="22"/>
              </w:rPr>
              <w:t>Sekretoriato stalas</w:t>
            </w:r>
          </w:p>
        </w:tc>
      </w:tr>
    </w:tbl>
    <w:p>
      <w:r>
        <w:rPr>
          <w:rFonts w:ascii="Calibri" w:hAnsi="Calibri"/>
          <w:sz w:val="22"/>
        </w:rPr>
        <w:t>Schemoje išlaikomi originalūs matmenys: aikštė 18 × 9 m; šešios 3 m ilgio zonos; orientavimosi linijos po 1,5 m, 0,5 m ir 0,15 m; suolelio zona 4 × 3 m, nuo aikštės nutolusi 3 m.</w:t>
      </w:r>
    </w:p>
    <w:p>
      <w:pPr>
        <w:pStyle w:val="Heading2"/>
      </w:pPr>
      <w:r>
        <w:rPr>
          <w:rFonts w:ascii="Calibri" w:hAnsi="Calibri"/>
          <w:sz w:val="22"/>
        </w:rPr>
        <w:t>Golbolo rankų signalai</w:t>
      </w:r>
    </w:p>
    <w:tbl>
      <w:tblPr>
        <w:tblStyle w:val="TableGrid"/>
        <w:tblW w:type="dxa" w:w="9360"/>
        <w:jc w:val="left"/>
        <w:tblLayout w:type="fixed"/>
        <w:tblLook w:firstColumn="1" w:firstRow="1" w:lastColumn="0" w:lastRow="0" w:noHBand="0" w:noVBand="1" w:val="04A0"/>
        <w:tblInd w:w="120" w:type="dxa"/>
      </w:tblPr>
      <w:tblGrid>
        <w:gridCol w:w="3000"/>
        <w:gridCol w:w="6360"/>
      </w:tblGrid>
      <w:tr>
        <w:tc>
          <w:tcPr>
            <w:tcW w:type="dxa" w:w="3000"/>
            <w:shd w:fill="E8EEF5"/>
            <w:tcMar>
              <w:top w:w="80" w:type="dxa"/>
              <w:start w:w="120" w:type="dxa"/>
              <w:bottom w:w="80" w:type="dxa"/>
              <w:end w:w="120" w:type="dxa"/>
            </w:tcMar>
            <w:vAlign w:val="center"/>
          </w:tcPr>
          <w:p>
            <w:pPr>
              <w:spacing w:after="40"/>
            </w:pPr>
            <w:r>
              <w:rPr>
                <w:rFonts w:ascii="Calibri" w:hAnsi="Calibri"/>
                <w:b/>
                <w:sz w:val="22"/>
              </w:rPr>
              <w:t>Originalo užrašas</w:t>
            </w:r>
          </w:p>
        </w:tc>
        <w:tc>
          <w:tcPr>
            <w:tcW w:type="dxa" w:w="6360"/>
            <w:shd w:fill="E8EEF5"/>
            <w:tcMar>
              <w:top w:w="80" w:type="dxa"/>
              <w:start w:w="120" w:type="dxa"/>
              <w:bottom w:w="80" w:type="dxa"/>
              <w:end w:w="120" w:type="dxa"/>
            </w:tcMar>
            <w:vAlign w:val="center"/>
          </w:tcPr>
          <w:p>
            <w:pPr>
              <w:spacing w:after="40"/>
            </w:pPr>
            <w:r>
              <w:rPr>
                <w:rFonts w:ascii="Calibri" w:hAnsi="Calibri"/>
                <w:b/>
                <w:sz w:val="22"/>
              </w:rPr>
              <w:t>Lietuviškas užrašas</w:t>
            </w:r>
          </w:p>
        </w:tc>
      </w:tr>
      <w:tr>
        <w:tc>
          <w:tcPr>
            <w:tcW w:type="dxa" w:w="3000"/>
            <w:tcMar>
              <w:top w:w="80" w:type="dxa"/>
              <w:start w:w="120" w:type="dxa"/>
              <w:bottom w:w="80" w:type="dxa"/>
              <w:end w:w="120" w:type="dxa"/>
            </w:tcMar>
            <w:vAlign w:val="center"/>
          </w:tcPr>
          <w:p>
            <w:pPr>
              <w:spacing w:after="40"/>
            </w:pPr>
            <w:r>
              <w:rPr>
                <w:rFonts w:ascii="Calibri" w:hAnsi="Calibri"/>
                <w:b w:val="0"/>
                <w:sz w:val="22"/>
              </w:rPr>
              <w:t>Substitution</w:t>
            </w:r>
          </w:p>
        </w:tc>
        <w:tc>
          <w:tcPr>
            <w:tcW w:type="dxa" w:w="6360"/>
            <w:tcMar>
              <w:top w:w="80" w:type="dxa"/>
              <w:start w:w="120" w:type="dxa"/>
              <w:bottom w:w="80" w:type="dxa"/>
              <w:end w:w="120" w:type="dxa"/>
            </w:tcMar>
            <w:vAlign w:val="center"/>
          </w:tcPr>
          <w:p>
            <w:pPr>
              <w:spacing w:after="40"/>
            </w:pPr>
            <w:r>
              <w:rPr>
                <w:rFonts w:ascii="Calibri" w:hAnsi="Calibri"/>
                <w:b w:val="0"/>
                <w:sz w:val="22"/>
              </w:rPr>
              <w:t>Keitimas</w:t>
            </w:r>
          </w:p>
        </w:tc>
      </w:tr>
      <w:tr>
        <w:tc>
          <w:tcPr>
            <w:tcW w:type="dxa" w:w="3000"/>
            <w:tcMar>
              <w:top w:w="80" w:type="dxa"/>
              <w:start w:w="120" w:type="dxa"/>
              <w:bottom w:w="80" w:type="dxa"/>
              <w:end w:w="120" w:type="dxa"/>
            </w:tcMar>
            <w:vAlign w:val="center"/>
          </w:tcPr>
          <w:p>
            <w:pPr>
              <w:spacing w:after="40"/>
            </w:pPr>
            <w:r>
              <w:rPr>
                <w:rFonts w:ascii="Calibri" w:hAnsi="Calibri"/>
                <w:b w:val="0"/>
                <w:sz w:val="22"/>
              </w:rPr>
              <w:t>Time-out</w:t>
            </w:r>
          </w:p>
        </w:tc>
        <w:tc>
          <w:tcPr>
            <w:tcW w:type="dxa" w:w="6360"/>
            <w:tcMar>
              <w:top w:w="80" w:type="dxa"/>
              <w:start w:w="120" w:type="dxa"/>
              <w:bottom w:w="80" w:type="dxa"/>
              <w:end w:w="120" w:type="dxa"/>
            </w:tcMar>
            <w:vAlign w:val="center"/>
          </w:tcPr>
          <w:p>
            <w:pPr>
              <w:spacing w:after="40"/>
            </w:pPr>
            <w:r>
              <w:rPr>
                <w:rFonts w:ascii="Calibri" w:hAnsi="Calibri"/>
                <w:b w:val="0"/>
                <w:sz w:val="22"/>
              </w:rPr>
              <w:t>Minutės pertraukėlė</w:t>
            </w:r>
          </w:p>
        </w:tc>
      </w:tr>
      <w:tr>
        <w:tc>
          <w:tcPr>
            <w:tcW w:type="dxa" w:w="3000"/>
            <w:tcMar>
              <w:top w:w="80" w:type="dxa"/>
              <w:start w:w="120" w:type="dxa"/>
              <w:bottom w:w="80" w:type="dxa"/>
              <w:end w:w="120" w:type="dxa"/>
            </w:tcMar>
            <w:vAlign w:val="center"/>
          </w:tcPr>
          <w:p>
            <w:pPr>
              <w:spacing w:after="40"/>
            </w:pPr>
            <w:r>
              <w:rPr>
                <w:rFonts w:ascii="Calibri" w:hAnsi="Calibri"/>
                <w:b w:val="0"/>
                <w:sz w:val="22"/>
              </w:rPr>
              <w:t>Decline Penalty</w:t>
            </w:r>
          </w:p>
        </w:tc>
        <w:tc>
          <w:tcPr>
            <w:tcW w:type="dxa" w:w="6360"/>
            <w:tcMar>
              <w:top w:w="80" w:type="dxa"/>
              <w:start w:w="120" w:type="dxa"/>
              <w:bottom w:w="80" w:type="dxa"/>
              <w:end w:w="120" w:type="dxa"/>
            </w:tcMar>
            <w:vAlign w:val="center"/>
          </w:tcPr>
          <w:p>
            <w:pPr>
              <w:spacing w:after="40"/>
            </w:pPr>
            <w:r>
              <w:rPr>
                <w:rFonts w:ascii="Calibri" w:hAnsi="Calibri"/>
                <w:b w:val="0"/>
                <w:sz w:val="22"/>
              </w:rPr>
              <w:t>Baudos metimo atsisakymas</w:t>
            </w:r>
          </w:p>
        </w:tc>
      </w:tr>
    </w:tbl>
    <w:p>
      <w:pPr>
        <w:pStyle w:val="Heading2"/>
      </w:pPr>
      <w:r>
        <w:rPr>
          <w:rFonts w:ascii="Calibri" w:hAnsi="Calibri"/>
          <w:sz w:val="22"/>
        </w:rPr>
        <w:t>Vartų virpstų padėtis</w:t>
      </w:r>
    </w:p>
    <w:tbl>
      <w:tblPr>
        <w:tblStyle w:val="TableGrid"/>
        <w:tblW w:type="dxa" w:w="9360"/>
        <w:jc w:val="left"/>
        <w:tblLayout w:type="fixed"/>
        <w:tblLook w:firstColumn="1" w:firstRow="1" w:lastColumn="0" w:lastRow="0" w:noHBand="0" w:noVBand="1" w:val="04A0"/>
        <w:tblInd w:w="120" w:type="dxa"/>
      </w:tblPr>
      <w:tblGrid>
        <w:gridCol w:w="3000"/>
        <w:gridCol w:w="6360"/>
      </w:tblGrid>
      <w:tr>
        <w:tc>
          <w:tcPr>
            <w:tcW w:type="dxa" w:w="3000"/>
            <w:shd w:fill="E8EEF5"/>
            <w:tcMar>
              <w:top w:w="80" w:type="dxa"/>
              <w:start w:w="120" w:type="dxa"/>
              <w:bottom w:w="80" w:type="dxa"/>
              <w:end w:w="120" w:type="dxa"/>
            </w:tcMar>
            <w:vAlign w:val="center"/>
          </w:tcPr>
          <w:p>
            <w:pPr>
              <w:spacing w:after="40"/>
            </w:pPr>
            <w:r>
              <w:rPr>
                <w:rFonts w:ascii="Calibri" w:hAnsi="Calibri"/>
                <w:b/>
                <w:sz w:val="22"/>
              </w:rPr>
              <w:t>Originalo užrašas</w:t>
            </w:r>
          </w:p>
        </w:tc>
        <w:tc>
          <w:tcPr>
            <w:tcW w:type="dxa" w:w="6360"/>
            <w:shd w:fill="E8EEF5"/>
            <w:tcMar>
              <w:top w:w="80" w:type="dxa"/>
              <w:start w:w="120" w:type="dxa"/>
              <w:bottom w:w="80" w:type="dxa"/>
              <w:end w:w="120" w:type="dxa"/>
            </w:tcMar>
            <w:vAlign w:val="center"/>
          </w:tcPr>
          <w:p>
            <w:pPr>
              <w:spacing w:after="40"/>
            </w:pPr>
            <w:r>
              <w:rPr>
                <w:rFonts w:ascii="Calibri" w:hAnsi="Calibri"/>
                <w:b/>
                <w:sz w:val="22"/>
              </w:rPr>
              <w:t>Lietuviškas užrašas</w:t>
            </w:r>
          </w:p>
        </w:tc>
      </w:tr>
      <w:tr>
        <w:tc>
          <w:tcPr>
            <w:tcW w:type="dxa" w:w="3000"/>
            <w:tcMar>
              <w:top w:w="80" w:type="dxa"/>
              <w:start w:w="120" w:type="dxa"/>
              <w:bottom w:w="80" w:type="dxa"/>
              <w:end w:w="120" w:type="dxa"/>
            </w:tcMar>
            <w:vAlign w:val="center"/>
          </w:tcPr>
          <w:p>
            <w:pPr>
              <w:spacing w:after="40"/>
            </w:pPr>
            <w:r>
              <w:rPr>
                <w:rFonts w:ascii="Calibri" w:hAnsi="Calibri"/>
                <w:b w:val="0"/>
                <w:sz w:val="22"/>
              </w:rPr>
              <w:t>Goal Post Placement</w:t>
            </w:r>
          </w:p>
        </w:tc>
        <w:tc>
          <w:tcPr>
            <w:tcW w:type="dxa" w:w="6360"/>
            <w:tcMar>
              <w:top w:w="80" w:type="dxa"/>
              <w:start w:w="120" w:type="dxa"/>
              <w:bottom w:w="80" w:type="dxa"/>
              <w:end w:w="120" w:type="dxa"/>
            </w:tcMar>
            <w:vAlign w:val="center"/>
          </w:tcPr>
          <w:p>
            <w:pPr>
              <w:spacing w:after="40"/>
            </w:pPr>
            <w:r>
              <w:rPr>
                <w:rFonts w:ascii="Calibri" w:hAnsi="Calibri"/>
                <w:b w:val="0"/>
                <w:sz w:val="22"/>
              </w:rPr>
              <w:t>Vartų virpstų padėtis</w:t>
            </w:r>
          </w:p>
        </w:tc>
      </w:tr>
      <w:tr>
        <w:tc>
          <w:tcPr>
            <w:tcW w:type="dxa" w:w="3000"/>
            <w:tcMar>
              <w:top w:w="80" w:type="dxa"/>
              <w:start w:w="120" w:type="dxa"/>
              <w:bottom w:w="80" w:type="dxa"/>
              <w:end w:w="120" w:type="dxa"/>
            </w:tcMar>
            <w:vAlign w:val="center"/>
          </w:tcPr>
          <w:p>
            <w:pPr>
              <w:spacing w:after="40"/>
            </w:pPr>
            <w:r>
              <w:rPr>
                <w:rFonts w:ascii="Calibri" w:hAnsi="Calibri"/>
                <w:b w:val="0"/>
                <w:sz w:val="22"/>
              </w:rPr>
              <w:t>Goal line</w:t>
            </w:r>
          </w:p>
        </w:tc>
        <w:tc>
          <w:tcPr>
            <w:tcW w:type="dxa" w:w="6360"/>
            <w:tcMar>
              <w:top w:w="80" w:type="dxa"/>
              <w:start w:w="120" w:type="dxa"/>
              <w:bottom w:w="80" w:type="dxa"/>
              <w:end w:w="120" w:type="dxa"/>
            </w:tcMar>
            <w:vAlign w:val="center"/>
          </w:tcPr>
          <w:p>
            <w:pPr>
              <w:spacing w:after="40"/>
            </w:pPr>
            <w:r>
              <w:rPr>
                <w:rFonts w:ascii="Calibri" w:hAnsi="Calibri"/>
                <w:b w:val="0"/>
                <w:sz w:val="22"/>
              </w:rPr>
              <w:t>Vartų linija</w:t>
            </w:r>
          </w:p>
        </w:tc>
      </w:tr>
      <w:tr>
        <w:tc>
          <w:tcPr>
            <w:tcW w:type="dxa" w:w="3000"/>
            <w:tcMar>
              <w:top w:w="80" w:type="dxa"/>
              <w:start w:w="120" w:type="dxa"/>
              <w:bottom w:w="80" w:type="dxa"/>
              <w:end w:w="120" w:type="dxa"/>
            </w:tcMar>
            <w:vAlign w:val="center"/>
          </w:tcPr>
          <w:p>
            <w:pPr>
              <w:spacing w:after="40"/>
            </w:pPr>
            <w:r>
              <w:rPr>
                <w:rFonts w:ascii="Calibri" w:hAnsi="Calibri"/>
                <w:b w:val="0"/>
                <w:sz w:val="22"/>
              </w:rPr>
              <w:t>Side line</w:t>
            </w:r>
          </w:p>
        </w:tc>
        <w:tc>
          <w:tcPr>
            <w:tcW w:type="dxa" w:w="6360"/>
            <w:tcMar>
              <w:top w:w="80" w:type="dxa"/>
              <w:start w:w="120" w:type="dxa"/>
              <w:bottom w:w="80" w:type="dxa"/>
              <w:end w:w="120" w:type="dxa"/>
            </w:tcMar>
            <w:vAlign w:val="center"/>
          </w:tcPr>
          <w:p>
            <w:pPr>
              <w:spacing w:after="40"/>
            </w:pPr>
            <w:r>
              <w:rPr>
                <w:rFonts w:ascii="Calibri" w:hAnsi="Calibri"/>
                <w:b w:val="0"/>
                <w:sz w:val="22"/>
              </w:rPr>
              <w:t>Šoninė linija</w:t>
            </w:r>
          </w:p>
        </w:tc>
      </w:tr>
      <w:tr>
        <w:tc>
          <w:tcPr>
            <w:tcW w:type="dxa" w:w="3000"/>
            <w:tcMar>
              <w:top w:w="80" w:type="dxa"/>
              <w:start w:w="120" w:type="dxa"/>
              <w:bottom w:w="80" w:type="dxa"/>
              <w:end w:w="120" w:type="dxa"/>
            </w:tcMar>
            <w:vAlign w:val="center"/>
          </w:tcPr>
          <w:p>
            <w:pPr>
              <w:spacing w:after="40"/>
            </w:pPr>
            <w:r>
              <w:rPr>
                <w:rFonts w:ascii="Calibri" w:hAnsi="Calibri"/>
                <w:b w:val="0"/>
                <w:sz w:val="22"/>
              </w:rPr>
              <w:t>Tape, 5 cm</w:t>
            </w:r>
          </w:p>
        </w:tc>
        <w:tc>
          <w:tcPr>
            <w:tcW w:type="dxa" w:w="6360"/>
            <w:tcMar>
              <w:top w:w="80" w:type="dxa"/>
              <w:start w:w="120" w:type="dxa"/>
              <w:bottom w:w="80" w:type="dxa"/>
              <w:end w:w="120" w:type="dxa"/>
            </w:tcMar>
            <w:vAlign w:val="center"/>
          </w:tcPr>
          <w:p>
            <w:pPr>
              <w:spacing w:after="40"/>
            </w:pPr>
            <w:r>
              <w:rPr>
                <w:rFonts w:ascii="Calibri" w:hAnsi="Calibri"/>
                <w:b w:val="0"/>
                <w:sz w:val="22"/>
              </w:rPr>
              <w:t>5 cm pločio lipnioji juosta</w:t>
            </w:r>
          </w:p>
        </w:tc>
      </w:tr>
      <w:tr>
        <w:tc>
          <w:tcPr>
            <w:tcW w:type="dxa" w:w="3000"/>
            <w:tcMar>
              <w:top w:w="80" w:type="dxa"/>
              <w:start w:w="120" w:type="dxa"/>
              <w:bottom w:w="80" w:type="dxa"/>
              <w:end w:w="120" w:type="dxa"/>
            </w:tcMar>
            <w:vAlign w:val="center"/>
          </w:tcPr>
          <w:p>
            <w:pPr>
              <w:spacing w:after="40"/>
            </w:pPr>
            <w:r>
              <w:rPr>
                <w:rFonts w:ascii="Calibri" w:hAnsi="Calibri"/>
                <w:b w:val="0"/>
                <w:sz w:val="22"/>
              </w:rPr>
              <w:t>9 meters</w:t>
            </w:r>
          </w:p>
        </w:tc>
        <w:tc>
          <w:tcPr>
            <w:tcW w:type="dxa" w:w="6360"/>
            <w:tcMar>
              <w:top w:w="80" w:type="dxa"/>
              <w:start w:w="120" w:type="dxa"/>
              <w:bottom w:w="80" w:type="dxa"/>
              <w:end w:w="120" w:type="dxa"/>
            </w:tcMar>
            <w:vAlign w:val="center"/>
          </w:tcPr>
          <w:p>
            <w:pPr>
              <w:spacing w:after="40"/>
            </w:pPr>
            <w:r>
              <w:rPr>
                <w:rFonts w:ascii="Calibri" w:hAnsi="Calibri"/>
                <w:b w:val="0"/>
                <w:sz w:val="22"/>
              </w:rPr>
              <w:t>9 metrai</w:t>
            </w:r>
          </w:p>
        </w:tc>
      </w:tr>
    </w:tbl>
    <w:p>
      <w:pPr>
        <w:pStyle w:val="Heading2"/>
      </w:pPr>
      <w:r>
        <w:rPr>
          <w:rFonts w:ascii="Calibri" w:hAnsi="Calibri"/>
          <w:sz w:val="22"/>
        </w:rPr>
        <w:t>Kamuolio padėtis prieš atnaujinant žaidimą</w:t>
      </w:r>
    </w:p>
    <w:tbl>
      <w:tblPr>
        <w:tblStyle w:val="TableGrid"/>
        <w:tblW w:type="dxa" w:w="9360"/>
        <w:jc w:val="left"/>
        <w:tblLayout w:type="fixed"/>
        <w:tblLook w:firstColumn="1" w:firstRow="1" w:lastColumn="0" w:lastRow="0" w:noHBand="0" w:noVBand="1" w:val="04A0"/>
        <w:tblInd w:w="120" w:type="dxa"/>
      </w:tblPr>
      <w:tblGrid>
        <w:gridCol w:w="3000"/>
        <w:gridCol w:w="6360"/>
      </w:tblGrid>
      <w:tr>
        <w:tc>
          <w:tcPr>
            <w:tcW w:type="dxa" w:w="3000"/>
            <w:shd w:fill="E8EEF5"/>
            <w:tcMar>
              <w:top w:w="80" w:type="dxa"/>
              <w:start w:w="120" w:type="dxa"/>
              <w:bottom w:w="80" w:type="dxa"/>
              <w:end w:w="120" w:type="dxa"/>
            </w:tcMar>
            <w:vAlign w:val="center"/>
          </w:tcPr>
          <w:p>
            <w:pPr>
              <w:spacing w:after="40"/>
            </w:pPr>
            <w:r>
              <w:rPr>
                <w:rFonts w:ascii="Calibri" w:hAnsi="Calibri"/>
                <w:b/>
                <w:sz w:val="22"/>
              </w:rPr>
              <w:t>Originalo užrašas</w:t>
            </w:r>
          </w:p>
        </w:tc>
        <w:tc>
          <w:tcPr>
            <w:tcW w:type="dxa" w:w="6360"/>
            <w:shd w:fill="E8EEF5"/>
            <w:tcMar>
              <w:top w:w="80" w:type="dxa"/>
              <w:start w:w="120" w:type="dxa"/>
              <w:bottom w:w="80" w:type="dxa"/>
              <w:end w:w="120" w:type="dxa"/>
            </w:tcMar>
            <w:vAlign w:val="center"/>
          </w:tcPr>
          <w:p>
            <w:pPr>
              <w:spacing w:after="40"/>
            </w:pPr>
            <w:r>
              <w:rPr>
                <w:rFonts w:ascii="Calibri" w:hAnsi="Calibri"/>
                <w:b/>
                <w:sz w:val="22"/>
              </w:rPr>
              <w:t>Lietuviškas užrašas</w:t>
            </w:r>
          </w:p>
        </w:tc>
      </w:tr>
      <w:tr>
        <w:tc>
          <w:tcPr>
            <w:tcW w:type="dxa" w:w="3000"/>
            <w:tcMar>
              <w:top w:w="80" w:type="dxa"/>
              <w:start w:w="120" w:type="dxa"/>
              <w:bottom w:w="80" w:type="dxa"/>
              <w:end w:w="120" w:type="dxa"/>
            </w:tcMar>
            <w:vAlign w:val="center"/>
          </w:tcPr>
          <w:p>
            <w:pPr>
              <w:spacing w:after="40"/>
            </w:pPr>
            <w:r>
              <w:rPr>
                <w:rFonts w:ascii="Calibri" w:hAnsi="Calibri"/>
                <w:b w:val="0"/>
                <w:sz w:val="22"/>
              </w:rPr>
              <w:t>Placement of Ball Before Play</w:t>
            </w:r>
          </w:p>
        </w:tc>
        <w:tc>
          <w:tcPr>
            <w:tcW w:type="dxa" w:w="6360"/>
            <w:tcMar>
              <w:top w:w="80" w:type="dxa"/>
              <w:start w:w="120" w:type="dxa"/>
              <w:bottom w:w="80" w:type="dxa"/>
              <w:end w:w="120" w:type="dxa"/>
            </w:tcMar>
            <w:vAlign w:val="center"/>
          </w:tcPr>
          <w:p>
            <w:pPr>
              <w:spacing w:after="40"/>
            </w:pPr>
            <w:r>
              <w:rPr>
                <w:rFonts w:ascii="Calibri" w:hAnsi="Calibri"/>
                <w:b w:val="0"/>
                <w:sz w:val="22"/>
              </w:rPr>
              <w:t>Kamuolio padėtis prieš atnaujinant žaidimą</w:t>
            </w:r>
          </w:p>
        </w:tc>
      </w:tr>
      <w:tr>
        <w:tc>
          <w:tcPr>
            <w:tcW w:type="dxa" w:w="3000"/>
            <w:tcMar>
              <w:top w:w="80" w:type="dxa"/>
              <w:start w:w="120" w:type="dxa"/>
              <w:bottom w:w="80" w:type="dxa"/>
              <w:end w:w="120" w:type="dxa"/>
            </w:tcMar>
            <w:vAlign w:val="center"/>
          </w:tcPr>
          <w:p>
            <w:pPr>
              <w:spacing w:after="40"/>
            </w:pPr>
            <w:r>
              <w:rPr>
                <w:rFonts w:ascii="Calibri" w:hAnsi="Calibri"/>
                <w:b w:val="0"/>
                <w:sz w:val="22"/>
              </w:rPr>
              <w:t>Goal post</w:t>
            </w:r>
          </w:p>
        </w:tc>
        <w:tc>
          <w:tcPr>
            <w:tcW w:type="dxa" w:w="6360"/>
            <w:tcMar>
              <w:top w:w="80" w:type="dxa"/>
              <w:start w:w="120" w:type="dxa"/>
              <w:bottom w:w="80" w:type="dxa"/>
              <w:end w:w="120" w:type="dxa"/>
            </w:tcMar>
            <w:vAlign w:val="center"/>
          </w:tcPr>
          <w:p>
            <w:pPr>
              <w:spacing w:after="40"/>
            </w:pPr>
            <w:r>
              <w:rPr>
                <w:rFonts w:ascii="Calibri" w:hAnsi="Calibri"/>
                <w:b w:val="0"/>
                <w:sz w:val="22"/>
              </w:rPr>
              <w:t>Vartų virpstas</w:t>
            </w:r>
          </w:p>
        </w:tc>
      </w:tr>
      <w:tr>
        <w:tc>
          <w:tcPr>
            <w:tcW w:type="dxa" w:w="3000"/>
            <w:tcMar>
              <w:top w:w="80" w:type="dxa"/>
              <w:start w:w="120" w:type="dxa"/>
              <w:bottom w:w="80" w:type="dxa"/>
              <w:end w:w="120" w:type="dxa"/>
            </w:tcMar>
            <w:vAlign w:val="center"/>
          </w:tcPr>
          <w:p>
            <w:pPr>
              <w:spacing w:after="40"/>
            </w:pPr>
            <w:r>
              <w:rPr>
                <w:rFonts w:ascii="Calibri" w:hAnsi="Calibri"/>
                <w:b w:val="0"/>
                <w:sz w:val="22"/>
              </w:rPr>
              <w:t>Goal line</w:t>
            </w:r>
          </w:p>
        </w:tc>
        <w:tc>
          <w:tcPr>
            <w:tcW w:type="dxa" w:w="6360"/>
            <w:tcMar>
              <w:top w:w="80" w:type="dxa"/>
              <w:start w:w="120" w:type="dxa"/>
              <w:bottom w:w="80" w:type="dxa"/>
              <w:end w:w="120" w:type="dxa"/>
            </w:tcMar>
            <w:vAlign w:val="center"/>
          </w:tcPr>
          <w:p>
            <w:pPr>
              <w:spacing w:after="40"/>
            </w:pPr>
            <w:r>
              <w:rPr>
                <w:rFonts w:ascii="Calibri" w:hAnsi="Calibri"/>
                <w:b w:val="0"/>
                <w:sz w:val="22"/>
              </w:rPr>
              <w:t>Vartų linija</w:t>
            </w:r>
          </w:p>
        </w:tc>
      </w:tr>
      <w:tr>
        <w:tc>
          <w:tcPr>
            <w:tcW w:type="dxa" w:w="3000"/>
            <w:tcMar>
              <w:top w:w="80" w:type="dxa"/>
              <w:start w:w="120" w:type="dxa"/>
              <w:bottom w:w="80" w:type="dxa"/>
              <w:end w:w="120" w:type="dxa"/>
            </w:tcMar>
            <w:vAlign w:val="center"/>
          </w:tcPr>
          <w:p>
            <w:pPr>
              <w:spacing w:after="40"/>
            </w:pPr>
            <w:r>
              <w:rPr>
                <w:rFonts w:ascii="Calibri" w:hAnsi="Calibri"/>
                <w:b w:val="0"/>
                <w:sz w:val="22"/>
              </w:rPr>
              <w:t>Side line</w:t>
            </w:r>
          </w:p>
        </w:tc>
        <w:tc>
          <w:tcPr>
            <w:tcW w:type="dxa" w:w="6360"/>
            <w:tcMar>
              <w:top w:w="80" w:type="dxa"/>
              <w:start w:w="120" w:type="dxa"/>
              <w:bottom w:w="80" w:type="dxa"/>
              <w:end w:w="120" w:type="dxa"/>
            </w:tcMar>
            <w:vAlign w:val="center"/>
          </w:tcPr>
          <w:p>
            <w:pPr>
              <w:spacing w:after="40"/>
            </w:pPr>
            <w:r>
              <w:rPr>
                <w:rFonts w:ascii="Calibri" w:hAnsi="Calibri"/>
                <w:b w:val="0"/>
                <w:sz w:val="22"/>
              </w:rPr>
              <w:t>Šoninė linija</w:t>
            </w:r>
          </w:p>
        </w:tc>
      </w:tr>
      <w:tr>
        <w:tc>
          <w:tcPr>
            <w:tcW w:type="dxa" w:w="3000"/>
            <w:tcMar>
              <w:top w:w="80" w:type="dxa"/>
              <w:start w:w="120" w:type="dxa"/>
              <w:bottom w:w="80" w:type="dxa"/>
              <w:end w:w="120" w:type="dxa"/>
            </w:tcMar>
            <w:vAlign w:val="center"/>
          </w:tcPr>
          <w:p>
            <w:pPr>
              <w:spacing w:after="40"/>
            </w:pPr>
            <w:r>
              <w:rPr>
                <w:rFonts w:ascii="Calibri" w:hAnsi="Calibri"/>
                <w:b w:val="0"/>
                <w:sz w:val="22"/>
              </w:rPr>
              <w:t>1.5 m line</w:t>
            </w:r>
          </w:p>
        </w:tc>
        <w:tc>
          <w:tcPr>
            <w:tcW w:type="dxa" w:w="6360"/>
            <w:tcMar>
              <w:top w:w="80" w:type="dxa"/>
              <w:start w:w="120" w:type="dxa"/>
              <w:bottom w:w="80" w:type="dxa"/>
              <w:end w:w="120" w:type="dxa"/>
            </w:tcMar>
            <w:vAlign w:val="center"/>
          </w:tcPr>
          <w:p>
            <w:pPr>
              <w:spacing w:after="40"/>
            </w:pPr>
            <w:r>
              <w:rPr>
                <w:rFonts w:ascii="Calibri" w:hAnsi="Calibri"/>
                <w:b w:val="0"/>
                <w:sz w:val="22"/>
              </w:rPr>
              <w:t>1,5 m linija</w:t>
            </w:r>
          </w:p>
        </w:tc>
      </w:tr>
    </w:tbl>
    <w:p>
      <w:r>
        <w:rPr>
          <w:rFonts w:ascii="Calibri" w:hAnsi="Calibri"/>
          <w:sz w:val="22"/>
        </w:rPr>
        <w:t>Kamuolys dedamas prie šoninės linijos, ties 1,5 m linija priešais vartų virpstą, kaip nustatyta 13.5 taisyklėje.</w:t>
      </w:r>
    </w:p>
    <w:p>
      <w:pPr>
        <w:pStyle w:val="Heading2"/>
      </w:pPr>
      <w:r>
        <w:rPr>
          <w:rFonts w:ascii="Calibri" w:hAnsi="Calibri"/>
          <w:sz w:val="22"/>
        </w:rPr>
        <w:t>Kamuolys už aikštės arba atremtas už aikštės ties šonine linija</w:t>
      </w:r>
    </w:p>
    <w:tbl>
      <w:tblPr>
        <w:tblStyle w:val="TableGrid"/>
        <w:tblW w:type="dxa" w:w="9360"/>
        <w:jc w:val="left"/>
        <w:tblLayout w:type="fixed"/>
        <w:tblLook w:firstColumn="1" w:firstRow="1" w:lastColumn="0" w:lastRow="0" w:noHBand="0" w:noVBand="1" w:val="04A0"/>
        <w:tblInd w:w="120" w:type="dxa"/>
      </w:tblPr>
      <w:tblGrid>
        <w:gridCol w:w="3000"/>
        <w:gridCol w:w="6360"/>
      </w:tblGrid>
      <w:tr>
        <w:tc>
          <w:tcPr>
            <w:tcW w:type="dxa" w:w="3000"/>
            <w:shd w:fill="E8EEF5"/>
            <w:tcMar>
              <w:top w:w="80" w:type="dxa"/>
              <w:start w:w="120" w:type="dxa"/>
              <w:bottom w:w="80" w:type="dxa"/>
              <w:end w:w="120" w:type="dxa"/>
            </w:tcMar>
            <w:vAlign w:val="center"/>
          </w:tcPr>
          <w:p>
            <w:pPr>
              <w:spacing w:after="40"/>
            </w:pPr>
            <w:r>
              <w:rPr>
                <w:rFonts w:ascii="Calibri" w:hAnsi="Calibri"/>
                <w:b/>
                <w:sz w:val="22"/>
              </w:rPr>
              <w:t>Originalo užrašas</w:t>
            </w:r>
          </w:p>
        </w:tc>
        <w:tc>
          <w:tcPr>
            <w:tcW w:type="dxa" w:w="6360"/>
            <w:shd w:fill="E8EEF5"/>
            <w:tcMar>
              <w:top w:w="80" w:type="dxa"/>
              <w:start w:w="120" w:type="dxa"/>
              <w:bottom w:w="80" w:type="dxa"/>
              <w:end w:w="120" w:type="dxa"/>
            </w:tcMar>
            <w:vAlign w:val="center"/>
          </w:tcPr>
          <w:p>
            <w:pPr>
              <w:spacing w:after="40"/>
            </w:pPr>
            <w:r>
              <w:rPr>
                <w:rFonts w:ascii="Calibri" w:hAnsi="Calibri"/>
                <w:b/>
                <w:sz w:val="22"/>
              </w:rPr>
              <w:t>Lietuviškas užrašas</w:t>
            </w:r>
          </w:p>
        </w:tc>
      </w:tr>
      <w:tr>
        <w:tc>
          <w:tcPr>
            <w:tcW w:type="dxa" w:w="3000"/>
            <w:tcMar>
              <w:top w:w="80" w:type="dxa"/>
              <w:start w:w="120" w:type="dxa"/>
              <w:bottom w:w="80" w:type="dxa"/>
              <w:end w:w="120" w:type="dxa"/>
            </w:tcMar>
            <w:vAlign w:val="center"/>
          </w:tcPr>
          <w:p>
            <w:pPr>
              <w:spacing w:after="40"/>
            </w:pPr>
            <w:r>
              <w:rPr>
                <w:rFonts w:ascii="Calibri" w:hAnsi="Calibri"/>
                <w:b w:val="0"/>
                <w:sz w:val="22"/>
              </w:rPr>
              <w:t>Ball Out or Blocked Out at the Side Line</w:t>
            </w:r>
          </w:p>
        </w:tc>
        <w:tc>
          <w:tcPr>
            <w:tcW w:type="dxa" w:w="6360"/>
            <w:tcMar>
              <w:top w:w="80" w:type="dxa"/>
              <w:start w:w="120" w:type="dxa"/>
              <w:bottom w:w="80" w:type="dxa"/>
              <w:end w:w="120" w:type="dxa"/>
            </w:tcMar>
            <w:vAlign w:val="center"/>
          </w:tcPr>
          <w:p>
            <w:pPr>
              <w:spacing w:after="40"/>
            </w:pPr>
            <w:r>
              <w:rPr>
                <w:rFonts w:ascii="Calibri" w:hAnsi="Calibri"/>
                <w:b w:val="0"/>
                <w:sz w:val="22"/>
              </w:rPr>
              <w:t>Kamuolys už aikštės arba atremtas už aikštės ties šonine linija</w:t>
            </w:r>
          </w:p>
        </w:tc>
      </w:tr>
      <w:tr>
        <w:tc>
          <w:tcPr>
            <w:tcW w:type="dxa" w:w="3000"/>
            <w:tcMar>
              <w:top w:w="80" w:type="dxa"/>
              <w:start w:w="120" w:type="dxa"/>
              <w:bottom w:w="80" w:type="dxa"/>
              <w:end w:w="120" w:type="dxa"/>
            </w:tcMar>
            <w:vAlign w:val="center"/>
          </w:tcPr>
          <w:p>
            <w:pPr>
              <w:spacing w:after="40"/>
            </w:pPr>
            <w:r>
              <w:rPr>
                <w:rFonts w:ascii="Calibri" w:hAnsi="Calibri"/>
                <w:b w:val="0"/>
                <w:sz w:val="22"/>
              </w:rPr>
              <w:t>In</w:t>
            </w:r>
          </w:p>
        </w:tc>
        <w:tc>
          <w:tcPr>
            <w:tcW w:type="dxa" w:w="6360"/>
            <w:tcMar>
              <w:top w:w="80" w:type="dxa"/>
              <w:start w:w="120" w:type="dxa"/>
              <w:bottom w:w="80" w:type="dxa"/>
              <w:end w:w="120" w:type="dxa"/>
            </w:tcMar>
            <w:vAlign w:val="center"/>
          </w:tcPr>
          <w:p>
            <w:pPr>
              <w:spacing w:after="40"/>
            </w:pPr>
            <w:r>
              <w:rPr>
                <w:rFonts w:ascii="Calibri" w:hAnsi="Calibri"/>
                <w:b w:val="0"/>
                <w:sz w:val="22"/>
              </w:rPr>
              <w:t>Aikštėje</w:t>
            </w:r>
          </w:p>
        </w:tc>
      </w:tr>
      <w:tr>
        <w:tc>
          <w:tcPr>
            <w:tcW w:type="dxa" w:w="3000"/>
            <w:tcMar>
              <w:top w:w="80" w:type="dxa"/>
              <w:start w:w="120" w:type="dxa"/>
              <w:bottom w:w="80" w:type="dxa"/>
              <w:end w:w="120" w:type="dxa"/>
            </w:tcMar>
            <w:vAlign w:val="center"/>
          </w:tcPr>
          <w:p>
            <w:pPr>
              <w:spacing w:after="40"/>
            </w:pPr>
            <w:r>
              <w:rPr>
                <w:rFonts w:ascii="Calibri" w:hAnsi="Calibri"/>
                <w:b w:val="0"/>
                <w:sz w:val="22"/>
              </w:rPr>
              <w:t>Out</w:t>
            </w:r>
          </w:p>
        </w:tc>
        <w:tc>
          <w:tcPr>
            <w:tcW w:type="dxa" w:w="6360"/>
            <w:tcMar>
              <w:top w:w="80" w:type="dxa"/>
              <w:start w:w="120" w:type="dxa"/>
              <w:bottom w:w="80" w:type="dxa"/>
              <w:end w:w="120" w:type="dxa"/>
            </w:tcMar>
            <w:vAlign w:val="center"/>
          </w:tcPr>
          <w:p>
            <w:pPr>
              <w:spacing w:after="40"/>
            </w:pPr>
            <w:r>
              <w:rPr>
                <w:rFonts w:ascii="Calibri" w:hAnsi="Calibri"/>
                <w:b w:val="0"/>
                <w:sz w:val="22"/>
              </w:rPr>
              <w:t>Už aikštės (autas)</w:t>
            </w:r>
          </w:p>
        </w:tc>
      </w:tr>
      <w:tr>
        <w:tc>
          <w:tcPr>
            <w:tcW w:type="dxa" w:w="3000"/>
            <w:tcMar>
              <w:top w:w="80" w:type="dxa"/>
              <w:start w:w="120" w:type="dxa"/>
              <w:bottom w:w="80" w:type="dxa"/>
              <w:end w:w="120" w:type="dxa"/>
            </w:tcMar>
            <w:vAlign w:val="center"/>
          </w:tcPr>
          <w:p>
            <w:pPr>
              <w:spacing w:after="40"/>
            </w:pPr>
            <w:r>
              <w:rPr>
                <w:rFonts w:ascii="Calibri" w:hAnsi="Calibri"/>
                <w:b w:val="0"/>
                <w:sz w:val="22"/>
              </w:rPr>
              <w:t>Ball Out Determination</w:t>
            </w:r>
          </w:p>
        </w:tc>
        <w:tc>
          <w:tcPr>
            <w:tcW w:type="dxa" w:w="6360"/>
            <w:tcMar>
              <w:top w:w="80" w:type="dxa"/>
              <w:start w:w="120" w:type="dxa"/>
              <w:bottom w:w="80" w:type="dxa"/>
              <w:end w:w="120" w:type="dxa"/>
            </w:tcMar>
            <w:vAlign w:val="center"/>
          </w:tcPr>
          <w:p>
            <w:pPr>
              <w:spacing w:after="40"/>
            </w:pPr>
            <w:r>
              <w:rPr>
                <w:rFonts w:ascii="Calibri" w:hAnsi="Calibri"/>
                <w:b w:val="0"/>
                <w:sz w:val="22"/>
              </w:rPr>
              <w:t>Kamuolio išriedėjimo už aikštės nustatymas</w:t>
            </w:r>
          </w:p>
        </w:tc>
      </w:tr>
      <w:tr>
        <w:tc>
          <w:tcPr>
            <w:tcW w:type="dxa" w:w="3000"/>
            <w:tcMar>
              <w:top w:w="80" w:type="dxa"/>
              <w:start w:w="120" w:type="dxa"/>
              <w:bottom w:w="80" w:type="dxa"/>
              <w:end w:w="120" w:type="dxa"/>
            </w:tcMar>
            <w:vAlign w:val="center"/>
          </w:tcPr>
          <w:p>
            <w:pPr>
              <w:spacing w:after="40"/>
            </w:pPr>
            <w:r>
              <w:rPr>
                <w:rFonts w:ascii="Calibri" w:hAnsi="Calibri"/>
                <w:b w:val="0"/>
                <w:sz w:val="22"/>
              </w:rPr>
              <w:t>Both Balls Out</w:t>
            </w:r>
          </w:p>
        </w:tc>
        <w:tc>
          <w:tcPr>
            <w:tcW w:type="dxa" w:w="6360"/>
            <w:tcMar>
              <w:top w:w="80" w:type="dxa"/>
              <w:start w:w="120" w:type="dxa"/>
              <w:bottom w:w="80" w:type="dxa"/>
              <w:end w:w="120" w:type="dxa"/>
            </w:tcMar>
            <w:vAlign w:val="center"/>
          </w:tcPr>
          <w:p>
            <w:pPr>
              <w:spacing w:after="40"/>
            </w:pPr>
            <w:r>
              <w:rPr>
                <w:rFonts w:ascii="Calibri" w:hAnsi="Calibri"/>
                <w:b w:val="0"/>
                <w:sz w:val="22"/>
              </w:rPr>
              <w:t>Abiem atvejais kamuolys yra už aikštės</w:t>
            </w:r>
          </w:p>
        </w:tc>
      </w:tr>
    </w:tbl>
    <w:p>
      <w:r>
        <w:rPr>
          <w:rFonts w:ascii="Calibri" w:hAnsi="Calibri"/>
          <w:sz w:val="22"/>
        </w:rPr>
        <w:t>Ant grindų esantis kamuolys laikomas už aikštės, kai kirsdamas šoninę liniją jos nebeliečia, t. y. daugiau kaip pusė kamuolio yra už linijos. Ore esančiam kamuoliui taikoma 2 priede pateikta „Out“ sąvoka.</w:t>
      </w:r>
    </w:p>
    <w:p>
      <w:pPr>
        <w:pStyle w:val="Heading2"/>
      </w:pPr>
      <w:r>
        <w:rPr>
          <w:rFonts w:ascii="Calibri" w:hAnsi="Calibri"/>
          <w:sz w:val="22"/>
        </w:rPr>
        <w:t>Įvarčio nustatymas</w:t>
      </w:r>
    </w:p>
    <w:tbl>
      <w:tblPr>
        <w:tblStyle w:val="TableGrid"/>
        <w:tblW w:type="dxa" w:w="9360"/>
        <w:jc w:val="left"/>
        <w:tblLayout w:type="fixed"/>
        <w:tblLook w:firstColumn="1" w:firstRow="1" w:lastColumn="0" w:lastRow="0" w:noHBand="0" w:noVBand="1" w:val="04A0"/>
        <w:tblInd w:w="120" w:type="dxa"/>
      </w:tblPr>
      <w:tblGrid>
        <w:gridCol w:w="3000"/>
        <w:gridCol w:w="6360"/>
      </w:tblGrid>
      <w:tr>
        <w:tc>
          <w:tcPr>
            <w:tcW w:type="dxa" w:w="3000"/>
            <w:shd w:fill="E8EEF5"/>
            <w:tcMar>
              <w:top w:w="80" w:type="dxa"/>
              <w:start w:w="120" w:type="dxa"/>
              <w:bottom w:w="80" w:type="dxa"/>
              <w:end w:w="120" w:type="dxa"/>
            </w:tcMar>
            <w:vAlign w:val="center"/>
          </w:tcPr>
          <w:p>
            <w:pPr>
              <w:spacing w:after="40"/>
            </w:pPr>
            <w:r>
              <w:rPr>
                <w:rFonts w:ascii="Calibri" w:hAnsi="Calibri"/>
                <w:b/>
                <w:sz w:val="22"/>
              </w:rPr>
              <w:t>Originalo užrašas</w:t>
            </w:r>
          </w:p>
        </w:tc>
        <w:tc>
          <w:tcPr>
            <w:tcW w:type="dxa" w:w="6360"/>
            <w:shd w:fill="E8EEF5"/>
            <w:tcMar>
              <w:top w:w="80" w:type="dxa"/>
              <w:start w:w="120" w:type="dxa"/>
              <w:bottom w:w="80" w:type="dxa"/>
              <w:end w:w="120" w:type="dxa"/>
            </w:tcMar>
            <w:vAlign w:val="center"/>
          </w:tcPr>
          <w:p>
            <w:pPr>
              <w:spacing w:after="40"/>
            </w:pPr>
            <w:r>
              <w:rPr>
                <w:rFonts w:ascii="Calibri" w:hAnsi="Calibri"/>
                <w:b/>
                <w:sz w:val="22"/>
              </w:rPr>
              <w:t>Lietuviškas užrašas</w:t>
            </w:r>
          </w:p>
        </w:tc>
      </w:tr>
      <w:tr>
        <w:tc>
          <w:tcPr>
            <w:tcW w:type="dxa" w:w="3000"/>
            <w:tcMar>
              <w:top w:w="80" w:type="dxa"/>
              <w:start w:w="120" w:type="dxa"/>
              <w:bottom w:w="80" w:type="dxa"/>
              <w:end w:w="120" w:type="dxa"/>
            </w:tcMar>
            <w:vAlign w:val="center"/>
          </w:tcPr>
          <w:p>
            <w:pPr>
              <w:spacing w:after="40"/>
            </w:pPr>
            <w:r>
              <w:rPr>
                <w:rFonts w:ascii="Calibri" w:hAnsi="Calibri"/>
                <w:b w:val="0"/>
                <w:sz w:val="22"/>
              </w:rPr>
              <w:t>Goal Determination</w:t>
            </w:r>
          </w:p>
        </w:tc>
        <w:tc>
          <w:tcPr>
            <w:tcW w:type="dxa" w:w="6360"/>
            <w:tcMar>
              <w:top w:w="80" w:type="dxa"/>
              <w:start w:w="120" w:type="dxa"/>
              <w:bottom w:w="80" w:type="dxa"/>
              <w:end w:w="120" w:type="dxa"/>
            </w:tcMar>
            <w:vAlign w:val="center"/>
          </w:tcPr>
          <w:p>
            <w:pPr>
              <w:spacing w:after="40"/>
            </w:pPr>
            <w:r>
              <w:rPr>
                <w:rFonts w:ascii="Calibri" w:hAnsi="Calibri"/>
                <w:b w:val="0"/>
                <w:sz w:val="22"/>
              </w:rPr>
              <w:t>Įvarčio nustatymas</w:t>
            </w:r>
          </w:p>
        </w:tc>
      </w:tr>
      <w:tr>
        <w:tc>
          <w:tcPr>
            <w:tcW w:type="dxa" w:w="3000"/>
            <w:tcMar>
              <w:top w:w="80" w:type="dxa"/>
              <w:start w:w="120" w:type="dxa"/>
              <w:bottom w:w="80" w:type="dxa"/>
              <w:end w:w="120" w:type="dxa"/>
            </w:tcMar>
            <w:vAlign w:val="center"/>
          </w:tcPr>
          <w:p>
            <w:pPr>
              <w:spacing w:after="40"/>
            </w:pPr>
            <w:r>
              <w:rPr>
                <w:rFonts w:ascii="Calibri" w:hAnsi="Calibri"/>
                <w:b w:val="0"/>
                <w:sz w:val="22"/>
              </w:rPr>
              <w:t>Ball Direction</w:t>
            </w:r>
          </w:p>
        </w:tc>
        <w:tc>
          <w:tcPr>
            <w:tcW w:type="dxa" w:w="6360"/>
            <w:tcMar>
              <w:top w:w="80" w:type="dxa"/>
              <w:start w:w="120" w:type="dxa"/>
              <w:bottom w:w="80" w:type="dxa"/>
              <w:end w:w="120" w:type="dxa"/>
            </w:tcMar>
            <w:vAlign w:val="center"/>
          </w:tcPr>
          <w:p>
            <w:pPr>
              <w:spacing w:after="40"/>
            </w:pPr>
            <w:r>
              <w:rPr>
                <w:rFonts w:ascii="Calibri" w:hAnsi="Calibri"/>
                <w:b w:val="0"/>
                <w:sz w:val="22"/>
              </w:rPr>
              <w:t>Kamuolio judėjimo kryptis</w:t>
            </w:r>
          </w:p>
        </w:tc>
      </w:tr>
      <w:tr>
        <w:tc>
          <w:tcPr>
            <w:tcW w:type="dxa" w:w="3000"/>
            <w:tcMar>
              <w:top w:w="80" w:type="dxa"/>
              <w:start w:w="120" w:type="dxa"/>
              <w:bottom w:w="80" w:type="dxa"/>
              <w:end w:w="120" w:type="dxa"/>
            </w:tcMar>
            <w:vAlign w:val="center"/>
          </w:tcPr>
          <w:p>
            <w:pPr>
              <w:spacing w:after="40"/>
            </w:pPr>
            <w:r>
              <w:rPr>
                <w:rFonts w:ascii="Calibri" w:hAnsi="Calibri"/>
                <w:b w:val="0"/>
                <w:sz w:val="22"/>
              </w:rPr>
              <w:t>Not a Goal / No Goal</w:t>
            </w:r>
          </w:p>
        </w:tc>
        <w:tc>
          <w:tcPr>
            <w:tcW w:type="dxa" w:w="6360"/>
            <w:tcMar>
              <w:top w:w="80" w:type="dxa"/>
              <w:start w:w="120" w:type="dxa"/>
              <w:bottom w:w="80" w:type="dxa"/>
              <w:end w:w="120" w:type="dxa"/>
            </w:tcMar>
            <w:vAlign w:val="center"/>
          </w:tcPr>
          <w:p>
            <w:pPr>
              <w:spacing w:after="40"/>
            </w:pPr>
            <w:r>
              <w:rPr>
                <w:rFonts w:ascii="Calibri" w:hAnsi="Calibri"/>
                <w:b w:val="0"/>
                <w:sz w:val="22"/>
              </w:rPr>
              <w:t>Ne įvartis</w:t>
            </w:r>
          </w:p>
        </w:tc>
      </w:tr>
      <w:tr>
        <w:tc>
          <w:tcPr>
            <w:tcW w:type="dxa" w:w="3000"/>
            <w:tcMar>
              <w:top w:w="80" w:type="dxa"/>
              <w:start w:w="120" w:type="dxa"/>
              <w:bottom w:w="80" w:type="dxa"/>
              <w:end w:w="120" w:type="dxa"/>
            </w:tcMar>
            <w:vAlign w:val="center"/>
          </w:tcPr>
          <w:p>
            <w:pPr>
              <w:spacing w:after="40"/>
            </w:pPr>
            <w:r>
              <w:rPr>
                <w:rFonts w:ascii="Calibri" w:hAnsi="Calibri"/>
                <w:b w:val="0"/>
                <w:sz w:val="22"/>
              </w:rPr>
              <w:t>Goal</w:t>
            </w:r>
          </w:p>
        </w:tc>
        <w:tc>
          <w:tcPr>
            <w:tcW w:type="dxa" w:w="6360"/>
            <w:tcMar>
              <w:top w:w="80" w:type="dxa"/>
              <w:start w:w="120" w:type="dxa"/>
              <w:bottom w:w="80" w:type="dxa"/>
              <w:end w:w="120" w:type="dxa"/>
            </w:tcMar>
            <w:vAlign w:val="center"/>
          </w:tcPr>
          <w:p>
            <w:pPr>
              <w:spacing w:after="40"/>
            </w:pPr>
            <w:r>
              <w:rPr>
                <w:rFonts w:ascii="Calibri" w:hAnsi="Calibri"/>
                <w:b w:val="0"/>
                <w:sz w:val="22"/>
              </w:rPr>
              <w:t>Įvartis</w:t>
            </w:r>
          </w:p>
        </w:tc>
      </w:tr>
    </w:tbl>
    <w:p>
      <w:r>
        <w:rPr>
          <w:rFonts w:ascii="Calibri" w:hAnsi="Calibri"/>
          <w:sz w:val="22"/>
        </w:rPr>
        <w:t>Įvartis įskaitomas tik tada, kai visas kamuolys kerta vartų liniją.</w:t>
      </w:r>
    </w:p>
    <w:p>
      <w:pPr>
        <w:pStyle w:val="Heading1"/>
      </w:pPr>
      <w:r>
        <w:rPr>
          <w:rFonts w:ascii="Calibri" w:hAnsi="Calibri"/>
          <w:sz w:val="22"/>
        </w:rPr>
        <w:t>2 priedas. Terminų žodynas</w:t>
      </w:r>
    </w:p>
    <w:p>
      <w:pPr>
        <w:pStyle w:val="Heading2"/>
      </w:pPr>
      <w:r>
        <w:rPr>
          <w:rFonts w:ascii="Calibri" w:hAnsi="Calibri"/>
          <w:sz w:val="22"/>
        </w:rPr>
        <w:t>Acknowledgement – patvirtinimas</w:t>
      </w:r>
    </w:p>
    <w:p>
      <w:r>
        <w:rPr>
          <w:rFonts w:ascii="Calibri" w:hAnsi="Calibri"/>
          <w:sz w:val="22"/>
        </w:rPr>
        <w:t>Teisėjas žodžiu paskelbia prašymą pateikusios komandos pavadinimą.</w:t>
      </w:r>
    </w:p>
    <w:p>
      <w:pPr>
        <w:pStyle w:val="Heading2"/>
      </w:pPr>
      <w:r>
        <w:rPr>
          <w:rFonts w:ascii="Calibri" w:hAnsi="Calibri"/>
          <w:sz w:val="22"/>
        </w:rPr>
        <w:t>Act of Throwing – metimo veiksmas</w:t>
      </w:r>
    </w:p>
    <w:p>
      <w:r>
        <w:rPr>
          <w:rFonts w:ascii="Calibri" w:hAnsi="Calibri"/>
          <w:sz w:val="22"/>
        </w:rPr>
        <w:t>Laikotarpis nuo metiko užsimojimo pradžios iki pirmojo kamuolio kontakto su varžovų komandos žaidėju.</w:t>
      </w:r>
    </w:p>
    <w:p>
      <w:pPr>
        <w:pStyle w:val="Heading2"/>
      </w:pPr>
      <w:r>
        <w:rPr>
          <w:rFonts w:ascii="Calibri" w:hAnsi="Calibri"/>
          <w:sz w:val="22"/>
        </w:rPr>
        <w:t>Ball Over – kamuolys kitoje komandos pusėje</w:t>
      </w:r>
    </w:p>
    <w:p>
      <w:r>
        <w:rPr>
          <w:rFonts w:ascii="Calibri" w:hAnsi="Calibri"/>
          <w:sz w:val="22"/>
        </w:rPr>
        <w:t>Situacija, kai kamuolys iš komandos zonos juda varžovų kryptimi ir didžioji jo dalis kerta vidurio liniją arba neutralios zonos šoninę liniją. Kamuolys gali būti ore arba ant grindų.</w:t>
      </w:r>
    </w:p>
    <w:p>
      <w:pPr>
        <w:pStyle w:val="Heading2"/>
      </w:pPr>
      <w:r>
        <w:rPr>
          <w:rFonts w:ascii="Calibri" w:hAnsi="Calibri"/>
          <w:sz w:val="22"/>
        </w:rPr>
        <w:t>Championships – čempionatai</w:t>
      </w:r>
    </w:p>
    <w:p>
      <w:r>
        <w:rPr>
          <w:rFonts w:ascii="Calibri" w:hAnsi="Calibri"/>
          <w:sz w:val="22"/>
        </w:rPr>
        <w:t>Paralimpinės žaidynės, pasaulio čempionatas arba IBSA regioniniai turnyrai.</w:t>
      </w:r>
    </w:p>
    <w:p>
      <w:pPr>
        <w:pStyle w:val="Heading2"/>
      </w:pPr>
      <w:r>
        <w:rPr>
          <w:rFonts w:ascii="Calibri" w:hAnsi="Calibri"/>
          <w:sz w:val="22"/>
        </w:rPr>
        <w:t>Coaching – instruktavimas</w:t>
      </w:r>
    </w:p>
    <w:p>
      <w:r>
        <w:rPr>
          <w:rFonts w:ascii="Calibri" w:hAnsi="Calibri"/>
          <w:sz w:val="22"/>
        </w:rPr>
        <w:t>Bet koks bendravimas iš komandos suolelio zonos su aikštės žaidėjais. Jis leidžiamas taisyklėse nustatytais atvejais iki teisėjas paskelbia „Quiet please“ („Prašome tylos“).</w:t>
      </w:r>
    </w:p>
    <w:p>
      <w:pPr>
        <w:pStyle w:val="Heading2"/>
      </w:pPr>
      <w:r>
        <w:rPr>
          <w:rFonts w:ascii="Calibri" w:hAnsi="Calibri"/>
          <w:sz w:val="22"/>
        </w:rPr>
        <w:t>Control of the Ball – kamuolio kontrolė</w:t>
      </w:r>
    </w:p>
    <w:p>
      <w:r>
        <w:rPr>
          <w:rFonts w:ascii="Calibri" w:hAnsi="Calibri"/>
          <w:sz w:val="22"/>
        </w:rPr>
        <w:t>Žaidėjas sustabdo kamuolį taip, kad galėtų jį laikyti, mesti arba perduoti. Kamuolys laikomas kontroliuojamu ir tada, kai perduodamas oru.</w:t>
      </w:r>
    </w:p>
    <w:p>
      <w:pPr>
        <w:pStyle w:val="Heading2"/>
      </w:pPr>
      <w:r>
        <w:rPr>
          <w:rFonts w:ascii="Calibri" w:hAnsi="Calibri"/>
          <w:sz w:val="22"/>
        </w:rPr>
        <w:t>Defence – gynyba</w:t>
      </w:r>
    </w:p>
    <w:p>
      <w:r>
        <w:rPr>
          <w:rFonts w:ascii="Calibri" w:hAnsi="Calibri"/>
          <w:sz w:val="22"/>
        </w:rPr>
        <w:t>Veiksmas, kuriuo neleidžiama kamuoliui patekti į vartus.</w:t>
      </w:r>
    </w:p>
    <w:p>
      <w:pPr>
        <w:pStyle w:val="Heading2"/>
      </w:pPr>
      <w:r>
        <w:rPr>
          <w:rFonts w:ascii="Calibri" w:hAnsi="Calibri"/>
          <w:sz w:val="22"/>
        </w:rPr>
        <w:t>Delegation – delegacija</w:t>
      </w:r>
    </w:p>
    <w:p>
      <w:r>
        <w:rPr>
          <w:rFonts w:ascii="Calibri" w:hAnsi="Calibri"/>
          <w:sz w:val="22"/>
        </w:rPr>
        <w:t>Pagal oficialius registracijos dokumentus ją sudaro komandos sportininkai, medicinos bei trenerių personalas, komandos vadovai ir, nacionalinės rinktinės atveju, nacionalinės federacijos personalas.</w:t>
      </w:r>
    </w:p>
    <w:p>
      <w:pPr>
        <w:pStyle w:val="Heading2"/>
      </w:pPr>
      <w:r>
        <w:rPr>
          <w:rFonts w:ascii="Calibri" w:hAnsi="Calibri"/>
          <w:sz w:val="22"/>
        </w:rPr>
        <w:t>Defensive Penalty – besiginančios komandos baudinys</w:t>
      </w:r>
    </w:p>
    <w:p>
      <w:r>
        <w:rPr>
          <w:rFonts w:ascii="Calibri" w:hAnsi="Calibri"/>
          <w:sz w:val="22"/>
        </w:rPr>
        <w:t>Baudiniai už golbolo akinius, nesportišką elgesį, neteisėtą gynybą ir neteisėtą instruktavimą.</w:t>
      </w:r>
    </w:p>
    <w:p>
      <w:pPr>
        <w:pStyle w:val="Heading2"/>
      </w:pPr>
      <w:r>
        <w:rPr>
          <w:rFonts w:ascii="Calibri" w:hAnsi="Calibri"/>
          <w:sz w:val="22"/>
        </w:rPr>
        <w:t>Draw – burtų traukimas</w:t>
      </w:r>
    </w:p>
    <w:p>
      <w:r>
        <w:rPr>
          <w:rFonts w:ascii="Calibri" w:hAnsi="Calibri"/>
          <w:sz w:val="22"/>
        </w:rPr>
        <w:t>Būdas nustatyti, į kurias grupes arba vietas paskirstomos komandos (žr. 49 nuostatą).</w:t>
      </w:r>
    </w:p>
    <w:p>
      <w:pPr>
        <w:pStyle w:val="Heading2"/>
      </w:pPr>
      <w:r>
        <w:rPr>
          <w:rFonts w:ascii="Calibri" w:hAnsi="Calibri"/>
          <w:sz w:val="22"/>
        </w:rPr>
        <w:t>Extra Throws – papildomi metimai</w:t>
      </w:r>
    </w:p>
    <w:p>
      <w:r>
        <w:rPr>
          <w:rFonts w:ascii="Calibri" w:hAnsi="Calibri"/>
          <w:sz w:val="22"/>
        </w:rPr>
        <w:t>Vieno žaidėjo metimo prieš vieną gynėją situacija lygioms rungtynėms išspręsti.</w:t>
      </w:r>
    </w:p>
    <w:p>
      <w:pPr>
        <w:pStyle w:val="Heading2"/>
      </w:pPr>
      <w:r>
        <w:rPr>
          <w:rFonts w:ascii="Calibri" w:hAnsi="Calibri"/>
          <w:sz w:val="22"/>
        </w:rPr>
        <w:t>Eyeshades – golbolo akiniai</w:t>
      </w:r>
    </w:p>
    <w:p>
      <w:r>
        <w:rPr>
          <w:rFonts w:ascii="Calibri" w:hAnsi="Calibri"/>
          <w:sz w:val="22"/>
        </w:rPr>
        <w:t>Akis visiškai uždengianti ir žaidėjui neleidžianti rungtynių metu naudotis rega priemonė.</w:t>
      </w:r>
    </w:p>
    <w:p>
      <w:pPr>
        <w:pStyle w:val="Heading2"/>
      </w:pPr>
      <w:r>
        <w:rPr>
          <w:rFonts w:ascii="Calibri" w:hAnsi="Calibri"/>
          <w:sz w:val="22"/>
        </w:rPr>
        <w:t>Eye Patches – akių tvarsčiai</w:t>
      </w:r>
    </w:p>
    <w:p>
      <w:r>
        <w:rPr>
          <w:rFonts w:ascii="Calibri" w:hAnsi="Calibri"/>
          <w:sz w:val="22"/>
        </w:rPr>
        <w:t>Po golbolo akiniais klijuojamas tvarstis arba kita medžiaga, papildomai uždengianti akis ir neleidžianti matyti rungtynių metu.</w:t>
      </w:r>
    </w:p>
    <w:p>
      <w:pPr>
        <w:pStyle w:val="Heading2"/>
      </w:pPr>
      <w:r>
        <w:rPr>
          <w:rFonts w:ascii="Calibri" w:hAnsi="Calibri"/>
          <w:sz w:val="22"/>
        </w:rPr>
        <w:t>Field of Play (FOP) – žaidimo vieta</w:t>
      </w:r>
    </w:p>
    <w:p>
      <w:r>
        <w:rPr>
          <w:rFonts w:ascii="Calibri" w:hAnsi="Calibri"/>
          <w:sz w:val="22"/>
        </w:rPr>
        <w:t>Varžybų vietos dalis, kurioje vyksta golbolo rungtynės.</w:t>
      </w:r>
    </w:p>
    <w:p>
      <w:pPr>
        <w:pStyle w:val="Heading2"/>
      </w:pPr>
      <w:r>
        <w:rPr>
          <w:rFonts w:ascii="Calibri" w:hAnsi="Calibri"/>
          <w:sz w:val="22"/>
        </w:rPr>
        <w:t>Forfeit – techninis pralaimėjimas</w:t>
      </w:r>
    </w:p>
    <w:p>
      <w:r>
        <w:rPr>
          <w:rFonts w:ascii="Calibri" w:hAnsi="Calibri"/>
          <w:sz w:val="22"/>
        </w:rPr>
        <w:t>Pralaimėjimas įskaitomas, kai komanda nustatytu rungtynių pradžios laiku neatvyksta žaisti, palieka žaidimo vietą rungtynių metu arba neturi minimalaus rungtynes pradėti galinčių žaidėjų skaičiaus.</w:t>
      </w:r>
    </w:p>
    <w:p>
      <w:pPr>
        <w:pStyle w:val="Heading2"/>
      </w:pPr>
      <w:r>
        <w:rPr>
          <w:rFonts w:ascii="Calibri" w:hAnsi="Calibri"/>
          <w:sz w:val="22"/>
        </w:rPr>
        <w:t>Goal Judge – vartų teisėjas</w:t>
      </w:r>
    </w:p>
    <w:p>
      <w:r>
        <w:rPr>
          <w:rFonts w:ascii="Calibri" w:hAnsi="Calibri"/>
          <w:sz w:val="22"/>
        </w:rPr>
        <w:t>Vienas iš tarptautinių techninių oficialių asmenų (ITO). Pareigos aprašytos IBSA golbolo ITO vadove.</w:t>
      </w:r>
    </w:p>
    <w:p>
      <w:pPr>
        <w:pStyle w:val="Heading2"/>
      </w:pPr>
      <w:r>
        <w:rPr>
          <w:rFonts w:ascii="Calibri" w:hAnsi="Calibri"/>
          <w:sz w:val="22"/>
        </w:rPr>
        <w:t>Half – kėlinys</w:t>
      </w:r>
    </w:p>
    <w:p>
      <w:r>
        <w:rPr>
          <w:rFonts w:ascii="Calibri" w:hAnsi="Calibri"/>
          <w:sz w:val="22"/>
        </w:rPr>
        <w:t>12 minučių pagrindinio rungtynių laiko dalis.</w:t>
      </w:r>
    </w:p>
    <w:p>
      <w:pPr>
        <w:pStyle w:val="Heading2"/>
      </w:pPr>
      <w:r>
        <w:rPr>
          <w:rFonts w:ascii="Calibri" w:hAnsi="Calibri"/>
          <w:sz w:val="22"/>
        </w:rPr>
        <w:t>Half Time – pertrauka tarp kėlinių</w:t>
      </w:r>
    </w:p>
    <w:p>
      <w:r>
        <w:rPr>
          <w:rFonts w:ascii="Calibri" w:hAnsi="Calibri"/>
          <w:sz w:val="22"/>
        </w:rPr>
        <w:t>5 minučių pertrauka tarp rungtynių kėlinių.</w:t>
      </w:r>
    </w:p>
    <w:p>
      <w:pPr>
        <w:pStyle w:val="Heading2"/>
      </w:pPr>
      <w:r>
        <w:rPr>
          <w:rFonts w:ascii="Calibri" w:hAnsi="Calibri"/>
          <w:sz w:val="22"/>
        </w:rPr>
        <w:t>Hand Signals – rankų signalai</w:t>
      </w:r>
    </w:p>
    <w:p>
      <w:r>
        <w:rPr>
          <w:rFonts w:ascii="Calibri" w:hAnsi="Calibri"/>
          <w:sz w:val="22"/>
        </w:rPr>
        <w:t>1 priede nustatyti nežodiniai signalai, kuriais treneriai prašo keitimo, minutės pertraukėlės arba atsisako baudos metimo.</w:t>
      </w:r>
    </w:p>
    <w:p>
      <w:pPr>
        <w:pStyle w:val="Heading2"/>
      </w:pPr>
      <w:r>
        <w:rPr>
          <w:rFonts w:ascii="Calibri" w:hAnsi="Calibri"/>
          <w:sz w:val="22"/>
        </w:rPr>
        <w:t>High Ball – aukštas kamuolys</w:t>
      </w:r>
    </w:p>
    <w:p>
      <w:r>
        <w:rPr>
          <w:rFonts w:ascii="Calibri" w:hAnsi="Calibri"/>
          <w:sz w:val="22"/>
        </w:rPr>
        <w:t>Baudos situacija, kai mestas kamuolys pirmą kartą nepaliečia grindų komandos zonoje. Aukšto kamuolio linija laikoma komandos zonos dalimi.</w:t>
      </w:r>
    </w:p>
    <w:p>
      <w:pPr>
        <w:pStyle w:val="Heading2"/>
      </w:pPr>
      <w:r>
        <w:rPr>
          <w:rFonts w:ascii="Calibri" w:hAnsi="Calibri"/>
          <w:sz w:val="22"/>
        </w:rPr>
        <w:t>IBSA – Tarptautinė aklųjų sporto federacija</w:t>
      </w:r>
    </w:p>
    <w:p>
      <w:r>
        <w:rPr>
          <w:rFonts w:ascii="Calibri" w:hAnsi="Calibri"/>
          <w:sz w:val="22"/>
        </w:rPr>
        <w:t>Angliško pavadinimo „International Blind Sports Federation“ santrumpa.</w:t>
      </w:r>
    </w:p>
    <w:p>
      <w:pPr>
        <w:pStyle w:val="Heading2"/>
      </w:pPr>
      <w:r>
        <w:rPr>
          <w:rFonts w:ascii="Calibri" w:hAnsi="Calibri"/>
          <w:sz w:val="22"/>
        </w:rPr>
        <w:t>Infraction – pažeidimas, už kurį prarandamas kamuolys</w:t>
      </w:r>
    </w:p>
    <w:p>
      <w:r>
        <w:rPr>
          <w:rFonts w:ascii="Calibri" w:hAnsi="Calibri"/>
          <w:sz w:val="22"/>
        </w:rPr>
        <w:t>Taisyklių pažeidimas, dėl kurio vietoj baudos skiriamas kamuolio valdymo praradimas.</w:t>
      </w:r>
    </w:p>
    <w:p>
      <w:pPr>
        <w:pStyle w:val="Heading2"/>
      </w:pPr>
      <w:r>
        <w:rPr>
          <w:rFonts w:ascii="Calibri" w:hAnsi="Calibri"/>
          <w:sz w:val="22"/>
        </w:rPr>
        <w:t>Identical – vienodi</w:t>
      </w:r>
    </w:p>
    <w:p>
      <w:r>
        <w:rPr>
          <w:rFonts w:ascii="Calibri" w:hAnsi="Calibri"/>
          <w:sz w:val="22"/>
        </w:rPr>
        <w:t>Tokių pačių spalvų ir dizaino.</w:t>
      </w:r>
    </w:p>
    <w:p>
      <w:pPr>
        <w:pStyle w:val="Heading2"/>
      </w:pPr>
      <w:r>
        <w:rPr>
          <w:rFonts w:ascii="Calibri" w:hAnsi="Calibri"/>
          <w:sz w:val="22"/>
        </w:rPr>
        <w:t>International Tournament – tarptautinis turnyras</w:t>
      </w:r>
    </w:p>
    <w:p>
      <w:r>
        <w:rPr>
          <w:rFonts w:ascii="Calibri" w:hAnsi="Calibri"/>
          <w:sz w:val="22"/>
        </w:rPr>
        <w:t>Turnyras, kuriame dalyvauja dviejų arba daugiau skirtingų valstybių komandos.</w:t>
      </w:r>
    </w:p>
    <w:p>
      <w:pPr>
        <w:pStyle w:val="Heading2"/>
      </w:pPr>
      <w:r>
        <w:rPr>
          <w:rFonts w:ascii="Calibri" w:hAnsi="Calibri"/>
          <w:sz w:val="22"/>
        </w:rPr>
        <w:t>Long Ball – ilgas kamuolys</w:t>
      </w:r>
    </w:p>
    <w:p>
      <w:r>
        <w:rPr>
          <w:rFonts w:ascii="Calibri" w:hAnsi="Calibri"/>
          <w:sz w:val="22"/>
        </w:rPr>
        <w:t>Baudos situacija, kai mestas kamuolys nė karto nepaliečia grindų neutralioje zonoje.</w:t>
      </w:r>
    </w:p>
    <w:p>
      <w:pPr>
        <w:pStyle w:val="Heading2"/>
      </w:pPr>
      <w:r>
        <w:rPr>
          <w:rFonts w:ascii="Calibri" w:hAnsi="Calibri"/>
          <w:sz w:val="22"/>
        </w:rPr>
        <w:t>Maximum Goal Difference – didžiausia įvarčių persvara</w:t>
      </w:r>
    </w:p>
    <w:p>
      <w:r>
        <w:rPr>
          <w:rFonts w:ascii="Calibri" w:hAnsi="Calibri"/>
          <w:sz w:val="22"/>
        </w:rPr>
        <w:t>Situacija, kai viena komanda yra pelniusi 10 įvarčių daugiau už varžovę.</w:t>
      </w:r>
    </w:p>
    <w:p>
      <w:pPr>
        <w:pStyle w:val="Heading2"/>
      </w:pPr>
      <w:r>
        <w:rPr>
          <w:rFonts w:ascii="Calibri" w:hAnsi="Calibri"/>
          <w:sz w:val="22"/>
        </w:rPr>
        <w:t>Official Break in Play – oficialus žaidimo sustabdymas</w:t>
      </w:r>
    </w:p>
    <w:p>
      <w:r>
        <w:rPr>
          <w:rFonts w:ascii="Calibri" w:hAnsi="Calibri"/>
          <w:sz w:val="22"/>
        </w:rPr>
        <w:t>Bet kuris atvejis, kai teisėjas švilpuku sustabdo žaidimą.</w:t>
      </w:r>
    </w:p>
    <w:p>
      <w:pPr>
        <w:pStyle w:val="Heading2"/>
      </w:pPr>
      <w:r>
        <w:rPr>
          <w:rFonts w:ascii="Calibri" w:hAnsi="Calibri"/>
          <w:sz w:val="22"/>
        </w:rPr>
        <w:t>Out – autas (kamuolys už aikštės)</w:t>
      </w:r>
    </w:p>
    <w:p>
      <w:r>
        <w:rPr>
          <w:rFonts w:ascii="Calibri" w:hAnsi="Calibri"/>
          <w:sz w:val="22"/>
        </w:rPr>
        <w:t>Situacija, kai ant grindų šoninę liniją kertantis kamuolys jos nebeliečia, t. y. daugiau kaip pusė kamuolio yra už linijos. Taip pat situacija, kai didžioji ore esančio kamuolio dalis kerta šoninę liniją arba, judėdama iš aikštės, praskrieja virš savos komandos vartų (žr. 1 priedą).</w:t>
      </w:r>
    </w:p>
    <w:p>
      <w:pPr>
        <w:pStyle w:val="Heading2"/>
      </w:pPr>
      <w:r>
        <w:rPr>
          <w:rFonts w:ascii="Calibri" w:hAnsi="Calibri"/>
          <w:sz w:val="22"/>
        </w:rPr>
        <w:t>Out of Bounds – už aikštės ribų</w:t>
      </w:r>
    </w:p>
    <w:p>
      <w:r>
        <w:rPr>
          <w:rFonts w:ascii="Calibri" w:hAnsi="Calibri"/>
          <w:sz w:val="22"/>
        </w:rPr>
        <w:t>Bet kuri už aikštės esanti vieta.</w:t>
      </w:r>
    </w:p>
    <w:p>
      <w:pPr>
        <w:pStyle w:val="Heading2"/>
      </w:pPr>
      <w:r>
        <w:rPr>
          <w:rFonts w:ascii="Calibri" w:hAnsi="Calibri"/>
          <w:sz w:val="22"/>
        </w:rPr>
        <w:t>Overtime – pratęsimas</w:t>
      </w:r>
    </w:p>
    <w:p>
      <w:r>
        <w:rPr>
          <w:rFonts w:ascii="Calibri" w:hAnsi="Calibri"/>
          <w:sz w:val="22"/>
        </w:rPr>
        <w:t>Vienas 6 minučių kėlinys nugalėtojui nustatyti, jei pasibaigus pagrindiniam laikui rezultatas lygus.</w:t>
      </w:r>
    </w:p>
    <w:p>
      <w:pPr>
        <w:pStyle w:val="Heading2"/>
      </w:pPr>
      <w:r>
        <w:rPr>
          <w:rFonts w:ascii="Calibri" w:hAnsi="Calibri"/>
          <w:sz w:val="22"/>
        </w:rPr>
        <w:t>Penalty – baudinys</w:t>
      </w:r>
    </w:p>
    <w:p>
      <w:r>
        <w:rPr>
          <w:rFonts w:ascii="Calibri" w:hAnsi="Calibri"/>
          <w:sz w:val="22"/>
        </w:rPr>
        <w:t>Taisyklių pažeidimas, dėl kurio skiriamas baudos metimas.</w:t>
      </w:r>
    </w:p>
    <w:p>
      <w:pPr>
        <w:pStyle w:val="Heading2"/>
      </w:pPr>
      <w:r>
        <w:rPr>
          <w:rFonts w:ascii="Calibri" w:hAnsi="Calibri"/>
          <w:sz w:val="22"/>
        </w:rPr>
        <w:t>Pool – grupė</w:t>
      </w:r>
    </w:p>
    <w:p>
      <w:r>
        <w:rPr>
          <w:rFonts w:ascii="Calibri" w:hAnsi="Calibri"/>
          <w:sz w:val="22"/>
        </w:rPr>
        <w:t>Komandų grupė, kurios visos komandos žaidžia tarpusavyje vieno rato sistema.</w:t>
      </w:r>
    </w:p>
    <w:p>
      <w:pPr>
        <w:pStyle w:val="Heading2"/>
      </w:pPr>
      <w:r>
        <w:rPr>
          <w:rFonts w:ascii="Calibri" w:hAnsi="Calibri"/>
          <w:sz w:val="22"/>
        </w:rPr>
        <w:t>Possession – kamuolio valdymas</w:t>
      </w:r>
    </w:p>
    <w:p>
      <w:r>
        <w:rPr>
          <w:rFonts w:ascii="Calibri" w:hAnsi="Calibri"/>
          <w:sz w:val="22"/>
        </w:rPr>
        <w:t>Komanda valdo kamuolį nuo to momento, kai tampa metančiąja komanda.</w:t>
      </w:r>
    </w:p>
    <w:p>
      <w:pPr>
        <w:pStyle w:val="Heading2"/>
      </w:pPr>
      <w:r>
        <w:rPr>
          <w:rFonts w:ascii="Calibri" w:hAnsi="Calibri"/>
          <w:sz w:val="22"/>
        </w:rPr>
        <w:t>Reorientation – padėjimas susiorientuoti</w:t>
      </w:r>
    </w:p>
    <w:p>
      <w:r>
        <w:rPr>
          <w:rFonts w:ascii="Calibri" w:hAnsi="Calibri"/>
          <w:sz w:val="22"/>
        </w:rPr>
        <w:t>Vartų teisėjas arba aikštės teisėjas padeda žaidėjui iš naujo užimti tinkamą padėtį aikštėje.</w:t>
      </w:r>
    </w:p>
    <w:p>
      <w:pPr>
        <w:pStyle w:val="Heading2"/>
      </w:pPr>
      <w:r>
        <w:rPr>
          <w:rFonts w:ascii="Calibri" w:hAnsi="Calibri"/>
          <w:sz w:val="22"/>
        </w:rPr>
        <w:t>Round Robin – rato sistema</w:t>
      </w:r>
    </w:p>
    <w:p>
      <w:r>
        <w:rPr>
          <w:rFonts w:ascii="Calibri" w:hAnsi="Calibri"/>
          <w:sz w:val="22"/>
        </w:rPr>
        <w:t>Turnyro sistema, kurioje kiekviena grupės komanda žaidžia su kiekviena kita tos grupės komanda.</w:t>
      </w:r>
    </w:p>
    <w:p>
      <w:pPr>
        <w:pStyle w:val="Heading2"/>
      </w:pPr>
      <w:r>
        <w:rPr>
          <w:rFonts w:ascii="Calibri" w:hAnsi="Calibri"/>
          <w:sz w:val="22"/>
        </w:rPr>
        <w:t>Scorer – protokolo pildytojas</w:t>
      </w:r>
    </w:p>
    <w:p>
      <w:r>
        <w:rPr>
          <w:rFonts w:ascii="Calibri" w:hAnsi="Calibri"/>
          <w:sz w:val="22"/>
        </w:rPr>
        <w:t>Vienas iš ITO. Pareigos aprašytos IBSA golbolo ITO vadove.</w:t>
      </w:r>
    </w:p>
    <w:p>
      <w:pPr>
        <w:pStyle w:val="Heading2"/>
      </w:pPr>
      <w:r>
        <w:rPr>
          <w:rFonts w:ascii="Calibri" w:hAnsi="Calibri"/>
          <w:sz w:val="22"/>
        </w:rPr>
        <w:t>Seeding – skirstymas pagal pajėgumą</w:t>
      </w:r>
    </w:p>
    <w:p>
      <w:r>
        <w:rPr>
          <w:rFonts w:ascii="Calibri" w:hAnsi="Calibri"/>
          <w:sz w:val="22"/>
        </w:rPr>
        <w:t>Komandų paskirstymo į panašaus pajėgumo grupes būdas, grindžiamas ankstesnių turnyrų rezultatais.</w:t>
      </w:r>
    </w:p>
    <w:p>
      <w:pPr>
        <w:pStyle w:val="Heading2"/>
      </w:pPr>
      <w:r>
        <w:rPr>
          <w:rFonts w:ascii="Calibri" w:hAnsi="Calibri"/>
          <w:sz w:val="22"/>
        </w:rPr>
        <w:t>Substitution – keitimas</w:t>
      </w:r>
    </w:p>
    <w:p>
      <w:r>
        <w:rPr>
          <w:rFonts w:ascii="Calibri" w:hAnsi="Calibri"/>
          <w:sz w:val="22"/>
        </w:rPr>
        <w:t>Aikštės žaidėjo pakeitimas atsarginiu žaidėju.</w:t>
      </w:r>
    </w:p>
    <w:p>
      <w:pPr>
        <w:pStyle w:val="Heading2"/>
      </w:pPr>
      <w:r>
        <w:rPr>
          <w:rFonts w:ascii="Calibri" w:hAnsi="Calibri"/>
          <w:sz w:val="22"/>
        </w:rPr>
        <w:t>Substitute – atsarginis žaidėjas</w:t>
      </w:r>
    </w:p>
    <w:p>
      <w:r>
        <w:rPr>
          <w:rFonts w:ascii="Calibri" w:hAnsi="Calibri"/>
          <w:sz w:val="22"/>
        </w:rPr>
        <w:t>Ant komandos suolelio esantis žaidėjas, galintis įeiti į aikštę ir pakeisti vieną iš aikštės žaidėjų.</w:t>
      </w:r>
    </w:p>
    <w:p>
      <w:pPr>
        <w:pStyle w:val="Heading2"/>
      </w:pPr>
      <w:r>
        <w:rPr>
          <w:rFonts w:ascii="Calibri" w:hAnsi="Calibri"/>
          <w:sz w:val="22"/>
        </w:rPr>
        <w:t>Substitution Boards – keitimo lentelės</w:t>
      </w:r>
    </w:p>
    <w:p>
      <w:r>
        <w:rPr>
          <w:rFonts w:ascii="Calibri" w:hAnsi="Calibri"/>
          <w:sz w:val="22"/>
        </w:rPr>
        <w:t>Neprivaloma vaizdinė priemonė, kurią treneris gali naudoti per kiekvieną žaidėjo keitimą.</w:t>
      </w:r>
    </w:p>
    <w:p>
      <w:pPr>
        <w:pStyle w:val="Heading2"/>
      </w:pPr>
      <w:r>
        <w:rPr>
          <w:rFonts w:ascii="Calibri" w:hAnsi="Calibri"/>
          <w:sz w:val="22"/>
        </w:rPr>
        <w:t>Ten Second Timer – dešimties sekundžių laiko matuotojas</w:t>
      </w:r>
    </w:p>
    <w:p>
      <w:r>
        <w:rPr>
          <w:rFonts w:ascii="Calibri" w:hAnsi="Calibri"/>
          <w:sz w:val="22"/>
        </w:rPr>
        <w:t>Vienas iš ITO. Pareigos aprašytos IBSA golbolo ITO vadove.</w:t>
      </w:r>
    </w:p>
    <w:p>
      <w:pPr>
        <w:pStyle w:val="Heading2"/>
      </w:pPr>
      <w:r>
        <w:rPr>
          <w:rFonts w:ascii="Calibri" w:hAnsi="Calibri"/>
          <w:sz w:val="22"/>
        </w:rPr>
        <w:t>Throw – metimas</w:t>
      </w:r>
    </w:p>
    <w:p>
      <w:r>
        <w:rPr>
          <w:rFonts w:ascii="Calibri" w:hAnsi="Calibri"/>
          <w:sz w:val="22"/>
        </w:rPr>
        <w:t>Bet koks kamuolį kontroliuojančio žaidėjo veiksmas, nelaikomas perdavimu, kuriuo, einant rungtynių laikmačiui, kamuolys paleidžiamas aikštėje arba už jos.</w:t>
      </w:r>
    </w:p>
    <w:p>
      <w:pPr>
        <w:pStyle w:val="Heading2"/>
      </w:pPr>
      <w:r>
        <w:rPr>
          <w:rFonts w:ascii="Calibri" w:hAnsi="Calibri"/>
          <w:sz w:val="22"/>
        </w:rPr>
        <w:t>Timer – rungtynių laiko matuotojas</w:t>
      </w:r>
    </w:p>
    <w:p>
      <w:r>
        <w:rPr>
          <w:rFonts w:ascii="Calibri" w:hAnsi="Calibri"/>
          <w:sz w:val="22"/>
        </w:rPr>
        <w:t>Vienas iš ITO. Pareigos aprašytos IBSA golbolo ITO vadove.</w:t>
      </w:r>
    </w:p>
    <w:p>
      <w:pPr>
        <w:pStyle w:val="Heading2"/>
      </w:pPr>
      <w:r>
        <w:rPr>
          <w:rFonts w:ascii="Calibri" w:hAnsi="Calibri"/>
          <w:sz w:val="22"/>
        </w:rPr>
        <w:t>Unsporting Conduct – nesportiškas elgesys</w:t>
      </w:r>
    </w:p>
    <w:p>
      <w:r>
        <w:rPr>
          <w:rFonts w:ascii="Calibri" w:hAnsi="Calibri"/>
          <w:sz w:val="22"/>
        </w:rPr>
        <w:t>Bet koks žaidėjo, komandos ar jos delegacijos nario veiksmas, prieštaraujantis žaidimo dvasiai.</w:t>
      </w:r>
    </w:p>
    <w:p>
      <w:pPr>
        <w:pStyle w:val="Heading2"/>
      </w:pPr>
      <w:r>
        <w:rPr>
          <w:rFonts w:ascii="Calibri" w:hAnsi="Calibri"/>
          <w:sz w:val="22"/>
        </w:rPr>
        <w:t>Uniform – žaidimo apranga</w:t>
      </w:r>
    </w:p>
    <w:p>
      <w:r>
        <w:rPr>
          <w:rFonts w:ascii="Calibri" w:hAnsi="Calibri"/>
          <w:sz w:val="22"/>
        </w:rPr>
        <w:t>Žaidimo marškinėliai, kelnės arba šortai ir kojinės.</w:t>
      </w:r>
    </w:p>
    <w:p>
      <w:pPr>
        <w:pStyle w:val="Heading2"/>
      </w:pPr>
      <w:r>
        <w:rPr>
          <w:rFonts w:ascii="Calibri" w:hAnsi="Calibri"/>
          <w:sz w:val="22"/>
        </w:rPr>
        <w:t>Youth Player – jaunimo žaidėjas</w:t>
      </w:r>
    </w:p>
    <w:p>
      <w:r>
        <w:rPr>
          <w:rFonts w:ascii="Calibri" w:hAnsi="Calibri"/>
          <w:sz w:val="22"/>
        </w:rPr>
        <w:t>IBSA sankcionuojamose varžybose jaunimo žaidėjui tų metų, kuriais vyksta varžybos, gruodžio 31 d. negali būti daugiau kaip 19 metų. Pavyzdžiui, jei IBSA sankcionuojamos jaunimo varžybos vyksta 2025 m. kovo 10–15 d., žaidėjui 2025 m. gruodžio 31 d. negali būti daugiau kaip 19 metų.</w:t>
      </w:r>
    </w:p>
    <w:p>
      <w:r>
        <w:br w:type="page"/>
      </w:r>
    </w:p>
    <w:p>
      <w:pPr>
        <w:pStyle w:val="Heading1"/>
      </w:pPr>
      <w:r>
        <w:t>Originalios 1 priedo schemos</w:t>
      </w:r>
    </w:p>
    <w:p>
      <w:r>
        <w:t>Toliau pateiktos oficialaus dokumento schemos. Jų angliškų užrašų lietuviški atitikmenys pateikti ankstesnėje 1 priedo dalyje.</w:t>
      </w:r>
    </w:p>
    <w:p>
      <w:pPr>
        <w:jc w:val="center"/>
      </w:pPr>
      <w:r>
        <w:rPr>
          <w:rFonts w:ascii="Calibri" w:hAnsi="Calibri"/>
          <w:i/>
          <w:color w:val="5A5A5A"/>
          <w:sz w:val="18"/>
        </w:rPr>
        <w:t>Originalo 52 puslapio schema</w:t>
      </w:r>
    </w:p>
    <w:p>
      <w:pPr>
        <w:jc w:val="center"/>
      </w:pPr>
      <w:r>
        <w:drawing>
          <wp:inline xmlns:a="http://schemas.openxmlformats.org/drawingml/2006/main" xmlns:pic="http://schemas.openxmlformats.org/drawingml/2006/picture">
            <wp:extent cx="5074920" cy="7178494"/>
            <wp:docPr id="1" name="Picture 1"/>
            <wp:cNvGraphicFramePr>
              <a:graphicFrameLocks noChangeAspect="1"/>
            </wp:cNvGraphicFramePr>
            <a:graphic>
              <a:graphicData uri="http://schemas.openxmlformats.org/drawingml/2006/picture">
                <pic:pic>
                  <pic:nvPicPr>
                    <pic:cNvPr id="0" name="page-52.png"/>
                    <pic:cNvPicPr/>
                  </pic:nvPicPr>
                  <pic:blipFill>
                    <a:blip r:embed="rId11"/>
                    <a:stretch>
                      <a:fillRect/>
                    </a:stretch>
                  </pic:blipFill>
                  <pic:spPr>
                    <a:xfrm>
                      <a:off x="0" y="0"/>
                      <a:ext cx="5074920" cy="7178494"/>
                    </a:xfrm>
                    <a:prstGeom prst="rect"/>
                  </pic:spPr>
                </pic:pic>
              </a:graphicData>
            </a:graphic>
          </wp:inline>
        </w:drawing>
      </w:r>
    </w:p>
    <w:p>
      <w:r>
        <w:br w:type="page"/>
      </w:r>
    </w:p>
    <w:p>
      <w:pPr>
        <w:jc w:val="center"/>
      </w:pPr>
      <w:r>
        <w:rPr>
          <w:rFonts w:ascii="Calibri" w:hAnsi="Calibri"/>
          <w:i/>
          <w:color w:val="5A5A5A"/>
          <w:sz w:val="18"/>
        </w:rPr>
        <w:t>Originalo 53 puslapio schema</w:t>
      </w:r>
    </w:p>
    <w:p>
      <w:pPr>
        <w:jc w:val="center"/>
      </w:pPr>
      <w:r>
        <w:drawing>
          <wp:inline xmlns:a="http://schemas.openxmlformats.org/drawingml/2006/main" xmlns:pic="http://schemas.openxmlformats.org/drawingml/2006/picture">
            <wp:extent cx="5074920" cy="7178494"/>
            <wp:docPr id="2" name="Picture 2"/>
            <wp:cNvGraphicFramePr>
              <a:graphicFrameLocks noChangeAspect="1"/>
            </wp:cNvGraphicFramePr>
            <a:graphic>
              <a:graphicData uri="http://schemas.openxmlformats.org/drawingml/2006/picture">
                <pic:pic>
                  <pic:nvPicPr>
                    <pic:cNvPr id="0" name="page-53.png"/>
                    <pic:cNvPicPr/>
                  </pic:nvPicPr>
                  <pic:blipFill>
                    <a:blip r:embed="rId12"/>
                    <a:stretch>
                      <a:fillRect/>
                    </a:stretch>
                  </pic:blipFill>
                  <pic:spPr>
                    <a:xfrm>
                      <a:off x="0" y="0"/>
                      <a:ext cx="5074920" cy="7178494"/>
                    </a:xfrm>
                    <a:prstGeom prst="rect"/>
                  </pic:spPr>
                </pic:pic>
              </a:graphicData>
            </a:graphic>
          </wp:inline>
        </w:drawing>
      </w:r>
    </w:p>
    <w:p>
      <w:r>
        <w:br w:type="page"/>
      </w:r>
    </w:p>
    <w:p>
      <w:pPr>
        <w:jc w:val="center"/>
      </w:pPr>
      <w:r>
        <w:rPr>
          <w:rFonts w:ascii="Calibri" w:hAnsi="Calibri"/>
          <w:i/>
          <w:color w:val="5A5A5A"/>
          <w:sz w:val="18"/>
        </w:rPr>
        <w:t>Originalo 54 puslapio schema</w:t>
      </w:r>
    </w:p>
    <w:p>
      <w:pPr>
        <w:jc w:val="center"/>
      </w:pPr>
      <w:r>
        <w:drawing>
          <wp:inline xmlns:a="http://schemas.openxmlformats.org/drawingml/2006/main" xmlns:pic="http://schemas.openxmlformats.org/drawingml/2006/picture">
            <wp:extent cx="5074920" cy="7178494"/>
            <wp:docPr id="3" name="Picture 3"/>
            <wp:cNvGraphicFramePr>
              <a:graphicFrameLocks noChangeAspect="1"/>
            </wp:cNvGraphicFramePr>
            <a:graphic>
              <a:graphicData uri="http://schemas.openxmlformats.org/drawingml/2006/picture">
                <pic:pic>
                  <pic:nvPicPr>
                    <pic:cNvPr id="0" name="page-54.png"/>
                    <pic:cNvPicPr/>
                  </pic:nvPicPr>
                  <pic:blipFill>
                    <a:blip r:embed="rId13"/>
                    <a:stretch>
                      <a:fillRect/>
                    </a:stretch>
                  </pic:blipFill>
                  <pic:spPr>
                    <a:xfrm>
                      <a:off x="0" y="0"/>
                      <a:ext cx="5074920" cy="7178494"/>
                    </a:xfrm>
                    <a:prstGeom prst="rect"/>
                  </pic:spPr>
                </pic:pic>
              </a:graphicData>
            </a:graphic>
          </wp:inline>
        </w:drawing>
      </w:r>
    </w:p>
    <w:p>
      <w:r>
        <w:br w:type="page"/>
      </w:r>
    </w:p>
    <w:p>
      <w:pPr>
        <w:jc w:val="center"/>
      </w:pPr>
      <w:r>
        <w:rPr>
          <w:rFonts w:ascii="Calibri" w:hAnsi="Calibri"/>
          <w:i/>
          <w:color w:val="5A5A5A"/>
          <w:sz w:val="18"/>
        </w:rPr>
        <w:t>Originalo 55 puslapio schema</w:t>
      </w:r>
    </w:p>
    <w:p>
      <w:pPr>
        <w:jc w:val="center"/>
      </w:pPr>
      <w:r>
        <w:drawing>
          <wp:inline xmlns:a="http://schemas.openxmlformats.org/drawingml/2006/main" xmlns:pic="http://schemas.openxmlformats.org/drawingml/2006/picture">
            <wp:extent cx="5074920" cy="7178494"/>
            <wp:docPr id="4" name="Picture 4"/>
            <wp:cNvGraphicFramePr>
              <a:graphicFrameLocks noChangeAspect="1"/>
            </wp:cNvGraphicFramePr>
            <a:graphic>
              <a:graphicData uri="http://schemas.openxmlformats.org/drawingml/2006/picture">
                <pic:pic>
                  <pic:nvPicPr>
                    <pic:cNvPr id="0" name="page-55.png"/>
                    <pic:cNvPicPr/>
                  </pic:nvPicPr>
                  <pic:blipFill>
                    <a:blip r:embed="rId14"/>
                    <a:stretch>
                      <a:fillRect/>
                    </a:stretch>
                  </pic:blipFill>
                  <pic:spPr>
                    <a:xfrm>
                      <a:off x="0" y="0"/>
                      <a:ext cx="5074920" cy="7178494"/>
                    </a:xfrm>
                    <a:prstGeom prst="rect"/>
                  </pic:spPr>
                </pic:pic>
              </a:graphicData>
            </a:graphic>
          </wp:inline>
        </w:drawing>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5A5A"/>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libri" w:hAnsi="Calibri"/>
        <w:color w:val="5A5A5A"/>
        <w:sz w:val="17"/>
      </w:rPr>
      <w:t>IBSA golbolo taisyklės ir varžybų nuostatai 2025 | Lietuviškas peržiūros vertimas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contextualSpacing/>
    </w:pPr>
    <w:rPr>
      <w:rFonts w:ascii="Calibri" w:hAnsi="Calibri"/>
      <w:sz w:val="22"/>
    </w:rPr>
  </w:style>
  <w:style w:type="paragraph" w:styleId="ListBullet2">
    <w:name w:val="List Bullet 2"/>
    <w:basedOn w:val="Normal"/>
    <w:uiPriority w:val="99"/>
    <w:unhideWhenUsed/>
    <w:rsid w:val="00326F90"/>
    <w:pPr>
      <w:numPr>
        <w:numId w:val="2"/>
      </w:numPr>
      <w:spacing w:after="80" w:line="300" w:lineRule="auto"/>
      <w:contextualSpacing/>
    </w:pPr>
    <w:rPr>
      <w:rFonts w:ascii="Calibri" w:hAnsi="Calibri"/>
      <w:sz w:val="22"/>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IBSA golbolo taisyklės ir varžybų nuostatai 2025 – lietuviškas peržiūros vertimas</dc:title>
  <dc:subject>Neoficialus lietuviškas vertimas peržiūrai</dc:subject>
  <dc:creator>Nacionalinė golbolo asociacija</dc:creator>
  <cp:keywords>golbolas, IBSA, taisyklės, 2025</cp:keywords>
  <dc:description>generated by python-docx</dc:description>
  <cp:lastModifiedBy/>
  <cp:revision>1</cp:revision>
  <dcterms:created xsi:type="dcterms:W3CDTF">2013-12-23T23:15:00Z</dcterms:created>
  <dcterms:modified xsi:type="dcterms:W3CDTF">2013-12-23T23:15:00Z</dcterms:modified>
  <cp:category/>
</cp:coreProperties>
</file>